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A811" w14:textId="026B8B42" w:rsidR="00E203C2" w:rsidRPr="00622335" w:rsidRDefault="00E203C2" w:rsidP="00E203C2">
      <w:pPr>
        <w:rPr>
          <w:lang w:val="en-GB"/>
        </w:rPr>
      </w:pPr>
      <w:bookmarkStart w:id="0" w:name="_GoBack"/>
      <w:bookmarkEnd w:id="0"/>
      <w:r w:rsidRPr="00DE5269">
        <w:rPr>
          <w:noProof/>
          <w:lang w:val="en-GB" w:eastAsia="en-GB" w:bidi="ar-SA"/>
        </w:rPr>
        <w:drawing>
          <wp:inline distT="0" distB="0" distL="0" distR="0" wp14:anchorId="77D8FD39" wp14:editId="72CA1D3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8A9F39E" w14:textId="77777777" w:rsidR="00BE3399" w:rsidRPr="00BE3399" w:rsidRDefault="00BE3399" w:rsidP="00BE3399">
      <w:pPr>
        <w:widowControl/>
        <w:rPr>
          <w:sz w:val="20"/>
          <w:lang w:val="en-GB" w:bidi="ar-SA"/>
        </w:rPr>
      </w:pPr>
    </w:p>
    <w:p w14:paraId="1AF3C446" w14:textId="77777777" w:rsidR="00BE3399" w:rsidRPr="00BE3399" w:rsidRDefault="00BE3399" w:rsidP="00BE3399">
      <w:pPr>
        <w:widowControl/>
        <w:tabs>
          <w:tab w:val="left" w:pos="851"/>
        </w:tabs>
        <w:rPr>
          <w:b/>
          <w:sz w:val="28"/>
          <w:szCs w:val="28"/>
          <w:lang w:val="en-GB" w:bidi="ar-SA"/>
        </w:rPr>
      </w:pPr>
      <w:r w:rsidRPr="00BE3399">
        <w:rPr>
          <w:b/>
          <w:sz w:val="28"/>
          <w:szCs w:val="28"/>
          <w:lang w:val="en-GB" w:bidi="ar-SA"/>
        </w:rPr>
        <w:t>1 November 2016</w:t>
      </w:r>
    </w:p>
    <w:p w14:paraId="14BD7D09" w14:textId="77777777" w:rsidR="00BE3399" w:rsidRPr="00BE3399" w:rsidRDefault="00BE3399" w:rsidP="00BE3399">
      <w:pPr>
        <w:widowControl/>
        <w:rPr>
          <w:b/>
          <w:sz w:val="28"/>
          <w:szCs w:val="28"/>
          <w:lang w:val="en-GB" w:bidi="ar-SA"/>
        </w:rPr>
      </w:pPr>
      <w:r w:rsidRPr="00BE3399">
        <w:rPr>
          <w:b/>
          <w:sz w:val="28"/>
          <w:szCs w:val="28"/>
          <w:lang w:val="en-GB" w:bidi="ar-SA"/>
        </w:rPr>
        <w:t>[27–16]</w:t>
      </w:r>
    </w:p>
    <w:p w14:paraId="4472804F" w14:textId="77777777" w:rsidR="00BE3399" w:rsidRPr="00BE3399" w:rsidRDefault="00BE3399" w:rsidP="00BE3399">
      <w:pPr>
        <w:widowControl/>
        <w:rPr>
          <w:b/>
          <w:sz w:val="20"/>
          <w:lang w:val="en-GB" w:bidi="ar-SA"/>
        </w:rPr>
      </w:pPr>
    </w:p>
    <w:p w14:paraId="3CEDF31E" w14:textId="12882400" w:rsidR="00092CDA" w:rsidRPr="00622335" w:rsidRDefault="00092CDA" w:rsidP="00690206">
      <w:pPr>
        <w:pStyle w:val="FSTitle"/>
        <w:rPr>
          <w:b/>
          <w:lang w:val="en-GB"/>
        </w:rPr>
      </w:pPr>
      <w:r w:rsidRPr="00622335">
        <w:rPr>
          <w:b/>
          <w:lang w:val="en-GB"/>
        </w:rPr>
        <w:t>S</w:t>
      </w:r>
      <w:r w:rsidR="00B12F1E" w:rsidRPr="00622335">
        <w:rPr>
          <w:b/>
          <w:lang w:val="en-GB"/>
        </w:rPr>
        <w:t>upporting document</w:t>
      </w:r>
      <w:r w:rsidRPr="00622335">
        <w:rPr>
          <w:b/>
          <w:lang w:val="en-GB"/>
        </w:rPr>
        <w:t xml:space="preserve"> </w:t>
      </w:r>
      <w:r w:rsidR="001C7B07" w:rsidRPr="00622335">
        <w:rPr>
          <w:b/>
          <w:lang w:val="en-GB"/>
        </w:rPr>
        <w:t>1</w:t>
      </w:r>
    </w:p>
    <w:p w14:paraId="0F94A356" w14:textId="77777777" w:rsidR="00BA24E2" w:rsidRPr="00622335" w:rsidRDefault="00BA24E2" w:rsidP="00E203C2">
      <w:pPr>
        <w:rPr>
          <w:lang w:val="en-GB"/>
        </w:rPr>
      </w:pPr>
    </w:p>
    <w:p w14:paraId="544AE120" w14:textId="4E907531" w:rsidR="00D056F1" w:rsidRPr="00622335" w:rsidRDefault="00320839" w:rsidP="00690206">
      <w:pPr>
        <w:pStyle w:val="FSTitle"/>
        <w:rPr>
          <w:lang w:val="en-GB"/>
        </w:rPr>
      </w:pPr>
      <w:r w:rsidRPr="00622335">
        <w:rPr>
          <w:lang w:val="en-GB"/>
        </w:rPr>
        <w:t xml:space="preserve">Risk </w:t>
      </w:r>
      <w:r w:rsidR="001C7B07" w:rsidRPr="00622335">
        <w:rPr>
          <w:lang w:val="en-GB"/>
        </w:rPr>
        <w:t xml:space="preserve">and technical </w:t>
      </w:r>
      <w:r w:rsidRPr="00622335">
        <w:rPr>
          <w:lang w:val="en-GB"/>
        </w:rPr>
        <w:t>assessment</w:t>
      </w:r>
      <w:r w:rsidR="006B5EBE" w:rsidRPr="00622335">
        <w:rPr>
          <w:lang w:val="en-GB"/>
        </w:rPr>
        <w:t xml:space="preserve"> – </w:t>
      </w:r>
      <w:r w:rsidR="00B12F1E" w:rsidRPr="00622335">
        <w:rPr>
          <w:lang w:val="en-GB"/>
        </w:rPr>
        <w:t>Proposal</w:t>
      </w:r>
      <w:r w:rsidR="00D056F1" w:rsidRPr="00622335">
        <w:rPr>
          <w:lang w:val="en-GB"/>
        </w:rPr>
        <w:t xml:space="preserve"> </w:t>
      </w:r>
      <w:r w:rsidR="00E203C2" w:rsidRPr="00622335">
        <w:rPr>
          <w:lang w:val="en-GB"/>
        </w:rPr>
        <w:t>P</w:t>
      </w:r>
      <w:r w:rsidR="001C7B07" w:rsidRPr="00622335">
        <w:rPr>
          <w:lang w:val="en-GB"/>
        </w:rPr>
        <w:t>1124</w:t>
      </w:r>
    </w:p>
    <w:p w14:paraId="57AB5C05" w14:textId="77777777" w:rsidR="00E203C2" w:rsidRPr="00622335" w:rsidRDefault="00E203C2" w:rsidP="00690206">
      <w:pPr>
        <w:rPr>
          <w:lang w:val="en-GB"/>
        </w:rPr>
      </w:pPr>
    </w:p>
    <w:p w14:paraId="63F60C06" w14:textId="6F33C0DA" w:rsidR="00D056F1" w:rsidRPr="00622335" w:rsidRDefault="008753C5" w:rsidP="00690206">
      <w:pPr>
        <w:pStyle w:val="FSTitle"/>
        <w:rPr>
          <w:lang w:val="en-GB"/>
        </w:rPr>
      </w:pPr>
      <w:r w:rsidRPr="00622335">
        <w:rPr>
          <w:rFonts w:cs="Segoe UI"/>
          <w:color w:val="262626"/>
          <w:lang w:val="en-GB"/>
        </w:rPr>
        <w:t xml:space="preserve">Alternative </w:t>
      </w:r>
      <w:r w:rsidR="001C7B07" w:rsidRPr="00622335">
        <w:rPr>
          <w:rFonts w:cs="Segoe UI"/>
          <w:color w:val="262626"/>
          <w:lang w:val="en-GB"/>
        </w:rPr>
        <w:t>DHA</w:t>
      </w:r>
      <w:r w:rsidRPr="00622335">
        <w:rPr>
          <w:rFonts w:cs="Segoe UI"/>
          <w:color w:val="262626"/>
          <w:lang w:val="en-GB"/>
        </w:rPr>
        <w:t>-rich</w:t>
      </w:r>
      <w:r w:rsidR="001C7B07" w:rsidRPr="00622335">
        <w:rPr>
          <w:rFonts w:cs="Segoe UI"/>
          <w:color w:val="262626"/>
          <w:lang w:val="en-GB"/>
        </w:rPr>
        <w:t xml:space="preserve"> Algal Oil </w:t>
      </w:r>
      <w:r w:rsidRPr="00622335">
        <w:rPr>
          <w:rFonts w:cs="Segoe UI"/>
          <w:color w:val="262626"/>
          <w:lang w:val="en-GB"/>
        </w:rPr>
        <w:t xml:space="preserve">for </w:t>
      </w:r>
      <w:r w:rsidR="001C7B07" w:rsidRPr="00622335">
        <w:rPr>
          <w:rFonts w:cs="Segoe UI"/>
          <w:color w:val="262626"/>
          <w:lang w:val="en-GB"/>
        </w:rPr>
        <w:t>Infant Formula</w:t>
      </w:r>
      <w:r w:rsidRPr="00622335">
        <w:rPr>
          <w:rFonts w:cs="Segoe UI"/>
          <w:color w:val="262626"/>
          <w:lang w:val="en-GB"/>
        </w:rPr>
        <w:t xml:space="preserve"> Products</w:t>
      </w:r>
    </w:p>
    <w:p w14:paraId="713824B5" w14:textId="77777777" w:rsidR="00E203C2" w:rsidRPr="00622335" w:rsidRDefault="00E203C2" w:rsidP="00E203C2">
      <w:pPr>
        <w:pBdr>
          <w:bottom w:val="single" w:sz="12" w:space="1" w:color="auto"/>
        </w:pBdr>
        <w:spacing w:line="280" w:lineRule="exact"/>
        <w:rPr>
          <w:rFonts w:cs="Arial"/>
          <w:bCs/>
          <w:lang w:val="en-GB"/>
        </w:rPr>
      </w:pPr>
    </w:p>
    <w:p w14:paraId="11E52E7D" w14:textId="77777777" w:rsidR="00E203C2" w:rsidRPr="00622335" w:rsidRDefault="00E203C2" w:rsidP="00E203C2">
      <w:pPr>
        <w:rPr>
          <w:lang w:val="en-GB"/>
        </w:rPr>
      </w:pPr>
    </w:p>
    <w:p w14:paraId="2035391E" w14:textId="77777777" w:rsidR="00092CDA" w:rsidRPr="00622335" w:rsidRDefault="00092CDA" w:rsidP="00352CF2">
      <w:pPr>
        <w:pStyle w:val="Heading1"/>
        <w:spacing w:before="0"/>
        <w:rPr>
          <w:lang w:val="en-GB"/>
        </w:rPr>
      </w:pPr>
      <w:bookmarkStart w:id="1" w:name="_Toc286391001"/>
      <w:bookmarkStart w:id="2" w:name="_Toc300933414"/>
      <w:bookmarkStart w:id="3" w:name="_Toc457821661"/>
      <w:bookmarkStart w:id="4" w:name="_Toc464129755"/>
      <w:r w:rsidRPr="00622335">
        <w:rPr>
          <w:lang w:val="en-GB"/>
        </w:rPr>
        <w:t xml:space="preserve">Executive </w:t>
      </w:r>
      <w:r w:rsidR="00B12F1E" w:rsidRPr="00622335">
        <w:rPr>
          <w:lang w:val="en-GB"/>
        </w:rPr>
        <w:t>s</w:t>
      </w:r>
      <w:r w:rsidRPr="00622335">
        <w:rPr>
          <w:lang w:val="en-GB"/>
        </w:rPr>
        <w:t>ummary</w:t>
      </w:r>
      <w:bookmarkEnd w:id="1"/>
      <w:bookmarkEnd w:id="2"/>
      <w:bookmarkEnd w:id="3"/>
      <w:bookmarkEnd w:id="4"/>
    </w:p>
    <w:p w14:paraId="6814F89D" w14:textId="14DA6FC9" w:rsidR="00C743B1" w:rsidRPr="00622335" w:rsidRDefault="00C743B1" w:rsidP="00286FDD">
      <w:pPr>
        <w:rPr>
          <w:szCs w:val="22"/>
          <w:lang w:val="en-GB"/>
        </w:rPr>
      </w:pPr>
      <w:r w:rsidRPr="00622335">
        <w:rPr>
          <w:lang w:val="en-GB" w:eastAsia="en-AU"/>
        </w:rPr>
        <w:t>The</w:t>
      </w:r>
      <w:r w:rsidR="00043352" w:rsidRPr="00622335">
        <w:rPr>
          <w:lang w:val="en-GB" w:eastAsia="en-AU"/>
        </w:rPr>
        <w:t xml:space="preserve"> Application </w:t>
      </w:r>
      <w:r w:rsidRPr="00622335">
        <w:rPr>
          <w:lang w:val="en-GB" w:eastAsia="en-AU"/>
        </w:rPr>
        <w:t xml:space="preserve">seeks </w:t>
      </w:r>
      <w:r w:rsidR="00043352" w:rsidRPr="00622335">
        <w:rPr>
          <w:lang w:val="en-GB" w:eastAsia="en-AU"/>
        </w:rPr>
        <w:t xml:space="preserve">approval of an additional, replacement or alternative oil source of DHA for use in infant formula </w:t>
      </w:r>
      <w:r w:rsidRPr="00622335">
        <w:rPr>
          <w:lang w:val="en-GB" w:eastAsia="en-AU"/>
        </w:rPr>
        <w:t>products</w:t>
      </w:r>
      <w:r w:rsidR="00043352" w:rsidRPr="00622335">
        <w:rPr>
          <w:lang w:val="en-GB" w:eastAsia="en-AU"/>
        </w:rPr>
        <w:t>.</w:t>
      </w:r>
      <w:r w:rsidRPr="00622335">
        <w:rPr>
          <w:lang w:val="en-GB" w:bidi="ar-SA"/>
        </w:rPr>
        <w:t xml:space="preserve"> The </w:t>
      </w:r>
      <w:r w:rsidR="00416566" w:rsidRPr="00622335">
        <w:rPr>
          <w:szCs w:val="22"/>
          <w:lang w:val="en-GB"/>
        </w:rPr>
        <w:t xml:space="preserve">alternative </w:t>
      </w:r>
      <w:r w:rsidR="00043352" w:rsidRPr="00622335">
        <w:rPr>
          <w:szCs w:val="22"/>
          <w:lang w:val="en-GB"/>
        </w:rPr>
        <w:t xml:space="preserve">DHA-rich oil marine micro-algal oil </w:t>
      </w:r>
      <w:r w:rsidRPr="00622335">
        <w:rPr>
          <w:szCs w:val="22"/>
          <w:lang w:val="en-GB"/>
        </w:rPr>
        <w:t xml:space="preserve">is </w:t>
      </w:r>
      <w:r w:rsidR="00043352" w:rsidRPr="00622335">
        <w:rPr>
          <w:szCs w:val="22"/>
          <w:lang w:val="en-GB"/>
        </w:rPr>
        <w:t xml:space="preserve">derived from a new production strain of </w:t>
      </w:r>
      <w:r w:rsidR="00043352" w:rsidRPr="00622335">
        <w:rPr>
          <w:i/>
          <w:lang w:val="en-GB" w:eastAsia="en-AU" w:bidi="ar-SA"/>
        </w:rPr>
        <w:t>Schizochytrium</w:t>
      </w:r>
      <w:r w:rsidR="00043352" w:rsidRPr="00622335">
        <w:rPr>
          <w:lang w:val="en-GB" w:eastAsia="en-AU" w:bidi="ar-SA"/>
        </w:rPr>
        <w:t xml:space="preserve"> sp.</w:t>
      </w:r>
      <w:r w:rsidR="00416566" w:rsidRPr="00622335">
        <w:rPr>
          <w:szCs w:val="22"/>
          <w:lang w:val="en-GB"/>
        </w:rPr>
        <w:t xml:space="preserve"> </w:t>
      </w:r>
      <w:r w:rsidRPr="00622335">
        <w:rPr>
          <w:szCs w:val="22"/>
          <w:lang w:val="en-GB"/>
        </w:rPr>
        <w:t xml:space="preserve">The strain is </w:t>
      </w:r>
      <w:r w:rsidR="00043352" w:rsidRPr="00622335">
        <w:rPr>
          <w:szCs w:val="22"/>
          <w:lang w:val="en-GB"/>
        </w:rPr>
        <w:t xml:space="preserve">known as </w:t>
      </w:r>
      <w:r w:rsidR="00043352" w:rsidRPr="00622335">
        <w:rPr>
          <w:lang w:val="en-GB"/>
        </w:rPr>
        <w:t>American Type Cell Culture (</w:t>
      </w:r>
      <w:r w:rsidR="00043352" w:rsidRPr="00622335">
        <w:rPr>
          <w:szCs w:val="22"/>
          <w:lang w:val="en-GB"/>
        </w:rPr>
        <w:t xml:space="preserve">ATCC) (PTA-9655). </w:t>
      </w:r>
      <w:r w:rsidR="00FD7080" w:rsidRPr="00622335">
        <w:rPr>
          <w:szCs w:val="22"/>
          <w:lang w:val="en-GB"/>
        </w:rPr>
        <w:t xml:space="preserve">For ease of reading, throughout this report the oil will be referred to as DHA-B. </w:t>
      </w:r>
    </w:p>
    <w:p w14:paraId="1E69BF0B" w14:textId="77777777" w:rsidR="00C743B1" w:rsidRPr="00622335" w:rsidRDefault="00C743B1" w:rsidP="00286FDD">
      <w:pPr>
        <w:rPr>
          <w:szCs w:val="22"/>
          <w:lang w:val="en-GB"/>
        </w:rPr>
      </w:pPr>
    </w:p>
    <w:p w14:paraId="577D7F4D" w14:textId="40384FE9" w:rsidR="00106D68" w:rsidRPr="00622335" w:rsidRDefault="005B0BAC" w:rsidP="00200B76">
      <w:pPr>
        <w:widowControl/>
        <w:rPr>
          <w:lang w:val="en-GB"/>
        </w:rPr>
      </w:pPr>
      <w:r w:rsidRPr="00622335">
        <w:rPr>
          <w:rFonts w:cs="Arial"/>
          <w:lang w:val="en-GB"/>
        </w:rPr>
        <w:t xml:space="preserve">FSANZ has previously assessed </w:t>
      </w:r>
      <w:r w:rsidR="00CB73A8" w:rsidRPr="00622335">
        <w:rPr>
          <w:rFonts w:cs="Arial"/>
          <w:lang w:val="en-GB"/>
        </w:rPr>
        <w:t xml:space="preserve">several </w:t>
      </w:r>
      <w:r w:rsidR="009866CB" w:rsidRPr="00622335">
        <w:rPr>
          <w:lang w:val="en-GB"/>
        </w:rPr>
        <w:t>marine micro-alga</w:t>
      </w:r>
      <w:r w:rsidR="00106D68" w:rsidRPr="00622335">
        <w:rPr>
          <w:lang w:val="en-GB"/>
        </w:rPr>
        <w:t>l</w:t>
      </w:r>
      <w:r w:rsidR="009866CB" w:rsidRPr="00622335">
        <w:rPr>
          <w:lang w:val="en-GB"/>
        </w:rPr>
        <w:t xml:space="preserve"> oils </w:t>
      </w:r>
      <w:r w:rsidR="00106D68" w:rsidRPr="00622335">
        <w:rPr>
          <w:lang w:val="en-GB"/>
        </w:rPr>
        <w:t xml:space="preserve">for use in infant formula products. </w:t>
      </w:r>
      <w:r w:rsidR="00FD7080" w:rsidRPr="00622335">
        <w:rPr>
          <w:lang w:val="en-GB"/>
        </w:rPr>
        <w:t>DHA-B, as an</w:t>
      </w:r>
      <w:r w:rsidR="009866CB" w:rsidRPr="00622335">
        <w:rPr>
          <w:lang w:val="en-GB"/>
        </w:rPr>
        <w:t xml:space="preserve"> alternative DHA-rich algal oil is proposed to be added to infant formula products at level</w:t>
      </w:r>
      <w:r w:rsidR="00106D68" w:rsidRPr="00622335">
        <w:rPr>
          <w:lang w:val="en-GB"/>
        </w:rPr>
        <w:t>s consistent with the current use</w:t>
      </w:r>
      <w:r w:rsidR="00FD7080" w:rsidRPr="00622335">
        <w:rPr>
          <w:lang w:val="en-GB"/>
        </w:rPr>
        <w:t xml:space="preserve"> </w:t>
      </w:r>
      <w:r w:rsidR="000B5CC2" w:rsidRPr="00622335">
        <w:rPr>
          <w:lang w:val="en-GB"/>
        </w:rPr>
        <w:t>level</w:t>
      </w:r>
      <w:r w:rsidR="00106D68" w:rsidRPr="00622335">
        <w:rPr>
          <w:lang w:val="en-GB"/>
        </w:rPr>
        <w:t>s</w:t>
      </w:r>
      <w:r w:rsidR="00043352" w:rsidRPr="00622335">
        <w:rPr>
          <w:lang w:val="en-GB"/>
        </w:rPr>
        <w:t xml:space="preserve"> of DHA</w:t>
      </w:r>
      <w:r w:rsidR="000B5CC2" w:rsidRPr="00622335">
        <w:rPr>
          <w:lang w:val="en-GB"/>
        </w:rPr>
        <w:t>-rich algal</w:t>
      </w:r>
      <w:r w:rsidR="00043352" w:rsidRPr="00622335">
        <w:rPr>
          <w:lang w:val="en-GB"/>
        </w:rPr>
        <w:t xml:space="preserve"> oils and</w:t>
      </w:r>
      <w:r w:rsidR="00106D68" w:rsidRPr="00622335">
        <w:rPr>
          <w:lang w:val="en-GB"/>
        </w:rPr>
        <w:t xml:space="preserve"> </w:t>
      </w:r>
      <w:r w:rsidR="009866CB" w:rsidRPr="00622335">
        <w:rPr>
          <w:lang w:val="en-GB"/>
        </w:rPr>
        <w:t>with</w:t>
      </w:r>
      <w:r w:rsidR="00106D68" w:rsidRPr="00622335">
        <w:rPr>
          <w:lang w:val="en-GB"/>
        </w:rPr>
        <w:t>in</w:t>
      </w:r>
      <w:r w:rsidR="009866CB" w:rsidRPr="00622335">
        <w:rPr>
          <w:lang w:val="en-GB"/>
        </w:rPr>
        <w:t xml:space="preserve"> the maximum level of </w:t>
      </w:r>
      <w:r w:rsidR="00043352" w:rsidRPr="00622335">
        <w:rPr>
          <w:lang w:val="en-GB"/>
        </w:rPr>
        <w:t>omega</w:t>
      </w:r>
      <w:r w:rsidR="009866CB" w:rsidRPr="00622335">
        <w:rPr>
          <w:lang w:val="en-GB"/>
        </w:rPr>
        <w:t xml:space="preserve">-3 </w:t>
      </w:r>
      <w:r w:rsidR="00043352" w:rsidRPr="00622335">
        <w:rPr>
          <w:lang w:val="en-GB"/>
        </w:rPr>
        <w:t xml:space="preserve">long chain poly unsaturated fatty acids </w:t>
      </w:r>
      <w:r w:rsidR="009866CB" w:rsidRPr="00622335">
        <w:rPr>
          <w:lang w:val="en-GB"/>
        </w:rPr>
        <w:t xml:space="preserve">of 1% permitted in Standard 2.9.1 </w:t>
      </w:r>
      <w:r w:rsidR="00FE490D">
        <w:rPr>
          <w:lang w:val="en-GB"/>
        </w:rPr>
        <w:t>in</w:t>
      </w:r>
      <w:r w:rsidR="00FE490D" w:rsidRPr="00622335">
        <w:rPr>
          <w:lang w:val="en-GB"/>
        </w:rPr>
        <w:t xml:space="preserve"> </w:t>
      </w:r>
      <w:r w:rsidR="009866CB" w:rsidRPr="00622335">
        <w:rPr>
          <w:lang w:val="en-GB"/>
        </w:rPr>
        <w:t xml:space="preserve">the </w:t>
      </w:r>
      <w:r w:rsidR="009866CB" w:rsidRPr="00622335">
        <w:rPr>
          <w:i/>
          <w:lang w:val="en-GB"/>
        </w:rPr>
        <w:t xml:space="preserve">Australia New Zealand Food Standards Code </w:t>
      </w:r>
      <w:r w:rsidR="009866CB" w:rsidRPr="00622335">
        <w:rPr>
          <w:lang w:val="en-GB"/>
        </w:rPr>
        <w:t>(the Code).</w:t>
      </w:r>
      <w:r w:rsidR="00106D68" w:rsidRPr="00622335">
        <w:rPr>
          <w:lang w:val="en-GB"/>
        </w:rPr>
        <w:t xml:space="preserve"> </w:t>
      </w:r>
    </w:p>
    <w:p w14:paraId="02619EDC" w14:textId="77777777" w:rsidR="00106D68" w:rsidRPr="00622335" w:rsidRDefault="00106D68" w:rsidP="00286FDD">
      <w:pPr>
        <w:rPr>
          <w:lang w:val="en-GB"/>
        </w:rPr>
      </w:pPr>
    </w:p>
    <w:p w14:paraId="33ABC810" w14:textId="1913415A" w:rsidR="00286FDD" w:rsidRPr="00622335" w:rsidRDefault="00106D68" w:rsidP="00286FDD">
      <w:pPr>
        <w:rPr>
          <w:lang w:val="en-GB" w:eastAsia="en-AU" w:bidi="ar-SA"/>
        </w:rPr>
      </w:pPr>
      <w:r w:rsidRPr="00622335">
        <w:rPr>
          <w:lang w:val="en-GB"/>
        </w:rPr>
        <w:t xml:space="preserve">The composition of the new strain of </w:t>
      </w:r>
      <w:r w:rsidRPr="00622335">
        <w:rPr>
          <w:i/>
          <w:lang w:val="en-GB"/>
        </w:rPr>
        <w:t>Schizochytrium</w:t>
      </w:r>
      <w:r w:rsidRPr="00622335">
        <w:rPr>
          <w:lang w:val="en-GB"/>
        </w:rPr>
        <w:t xml:space="preserve"> sp. micro</w:t>
      </w:r>
      <w:r w:rsidR="0045057C" w:rsidRPr="00622335">
        <w:rPr>
          <w:lang w:val="en-GB"/>
        </w:rPr>
        <w:t>-</w:t>
      </w:r>
      <w:r w:rsidRPr="00622335">
        <w:rPr>
          <w:lang w:val="en-GB"/>
        </w:rPr>
        <w:t xml:space="preserve">algae and the oil derived from the new strain of </w:t>
      </w:r>
      <w:r w:rsidRPr="00622335">
        <w:rPr>
          <w:i/>
          <w:lang w:val="en-GB"/>
        </w:rPr>
        <w:t xml:space="preserve">Schizochytrium </w:t>
      </w:r>
      <w:r w:rsidRPr="00622335">
        <w:rPr>
          <w:lang w:val="en-GB"/>
        </w:rPr>
        <w:t>sp. are comparable to other currently permitted sources of DHA.</w:t>
      </w:r>
      <w:r w:rsidR="00043352" w:rsidRPr="00622335">
        <w:rPr>
          <w:lang w:val="en-GB"/>
        </w:rPr>
        <w:t xml:space="preserve"> </w:t>
      </w:r>
      <w:r w:rsidR="00286FDD" w:rsidRPr="00622335">
        <w:rPr>
          <w:lang w:val="en-GB" w:eastAsia="en-AU" w:bidi="ar-SA"/>
        </w:rPr>
        <w:t>Therefor</w:t>
      </w:r>
      <w:r w:rsidR="00043352" w:rsidRPr="00622335">
        <w:rPr>
          <w:lang w:val="en-GB" w:eastAsia="en-AU" w:bidi="ar-SA"/>
        </w:rPr>
        <w:t>e</w:t>
      </w:r>
      <w:r w:rsidR="00286FDD" w:rsidRPr="00622335">
        <w:rPr>
          <w:lang w:val="en-GB" w:eastAsia="en-AU" w:bidi="ar-SA"/>
        </w:rPr>
        <w:t xml:space="preserve"> the objective of this risk and technical assessment is to evaluate:</w:t>
      </w:r>
    </w:p>
    <w:p w14:paraId="50273C9D" w14:textId="77777777" w:rsidR="00286FDD" w:rsidRPr="00622335" w:rsidRDefault="00286FDD" w:rsidP="00286FDD">
      <w:pPr>
        <w:rPr>
          <w:lang w:val="en-GB" w:eastAsia="en-AU" w:bidi="ar-SA"/>
        </w:rPr>
      </w:pPr>
    </w:p>
    <w:p w14:paraId="798C8071" w14:textId="4A6381F9" w:rsidR="00286FDD" w:rsidRPr="00622335" w:rsidRDefault="00286FDD" w:rsidP="00DE5269">
      <w:pPr>
        <w:pStyle w:val="FSBullet1"/>
        <w:rPr>
          <w:lang w:val="en-GB"/>
        </w:rPr>
      </w:pPr>
      <w:r w:rsidRPr="00622335">
        <w:rPr>
          <w:lang w:val="en-GB"/>
        </w:rPr>
        <w:t xml:space="preserve">the safety of this new production strain of </w:t>
      </w:r>
      <w:r w:rsidRPr="00622335">
        <w:rPr>
          <w:i/>
          <w:lang w:val="en-GB"/>
        </w:rPr>
        <w:t>Schizochytrium</w:t>
      </w:r>
      <w:r w:rsidRPr="00622335">
        <w:rPr>
          <w:lang w:val="en-GB"/>
        </w:rPr>
        <w:t xml:space="preserve"> species algae</w:t>
      </w:r>
    </w:p>
    <w:p w14:paraId="3D4CE7C0" w14:textId="77777777" w:rsidR="00043352" w:rsidRPr="00622335" w:rsidRDefault="00043352" w:rsidP="00043352">
      <w:pPr>
        <w:rPr>
          <w:lang w:val="en-GB" w:bidi="ar-SA"/>
        </w:rPr>
      </w:pPr>
    </w:p>
    <w:p w14:paraId="50E6CE7F" w14:textId="68FA4893" w:rsidR="00286FDD" w:rsidRPr="00622335" w:rsidRDefault="00286FDD" w:rsidP="00043352">
      <w:pPr>
        <w:pStyle w:val="FSBullet1"/>
        <w:rPr>
          <w:lang w:val="en-GB"/>
        </w:rPr>
      </w:pPr>
      <w:r w:rsidRPr="00622335">
        <w:rPr>
          <w:lang w:val="en-GB"/>
        </w:rPr>
        <w:t xml:space="preserve">the safety and suitability of </w:t>
      </w:r>
      <w:r w:rsidR="00EF2C38" w:rsidRPr="00622335">
        <w:rPr>
          <w:lang w:val="en-GB"/>
        </w:rPr>
        <w:t xml:space="preserve">the </w:t>
      </w:r>
      <w:r w:rsidR="00FD7080" w:rsidRPr="00622335">
        <w:rPr>
          <w:lang w:val="en-GB"/>
        </w:rPr>
        <w:t xml:space="preserve">DHA-B </w:t>
      </w:r>
      <w:r w:rsidR="00EF2C38" w:rsidRPr="00622335">
        <w:rPr>
          <w:lang w:val="en-GB"/>
        </w:rPr>
        <w:t xml:space="preserve">oil </w:t>
      </w:r>
      <w:r w:rsidRPr="00622335">
        <w:rPr>
          <w:lang w:val="en-GB"/>
        </w:rPr>
        <w:t xml:space="preserve">as an additional, replacement or alternative DHA oil source for </w:t>
      </w:r>
      <w:r w:rsidR="00622335">
        <w:rPr>
          <w:lang w:val="en-GB"/>
        </w:rPr>
        <w:t>infant formula products.</w:t>
      </w:r>
    </w:p>
    <w:p w14:paraId="35CDA8C9" w14:textId="77777777" w:rsidR="00106D68" w:rsidRPr="00622335" w:rsidRDefault="00106D68" w:rsidP="00517FD6">
      <w:pPr>
        <w:rPr>
          <w:lang w:val="en-GB" w:bidi="ar-SA"/>
        </w:rPr>
      </w:pPr>
    </w:p>
    <w:p w14:paraId="3D6817F9" w14:textId="26DA1FF0" w:rsidR="00140882" w:rsidRPr="00622335" w:rsidRDefault="00140882" w:rsidP="00140882">
      <w:pPr>
        <w:widowControl/>
        <w:rPr>
          <w:rFonts w:cs="Arial"/>
          <w:szCs w:val="22"/>
          <w:lang w:val="en-GB" w:bidi="ar-SA"/>
        </w:rPr>
      </w:pPr>
      <w:r w:rsidRPr="00622335">
        <w:rPr>
          <w:lang w:val="en-GB" w:bidi="ar-SA"/>
        </w:rPr>
        <w:t xml:space="preserve">The submitted data are considered adequate to define the hazard of </w:t>
      </w:r>
      <w:r w:rsidR="00FD7080" w:rsidRPr="00622335">
        <w:rPr>
          <w:lang w:val="en-GB" w:bidi="ar-SA"/>
        </w:rPr>
        <w:t>DHA-B</w:t>
      </w:r>
      <w:r w:rsidR="00B304E3" w:rsidRPr="00622335">
        <w:rPr>
          <w:lang w:val="en-GB" w:bidi="ar-SA"/>
        </w:rPr>
        <w:t xml:space="preserve"> and </w:t>
      </w:r>
      <w:r w:rsidR="00517FD6" w:rsidRPr="00622335">
        <w:rPr>
          <w:lang w:val="en-GB"/>
        </w:rPr>
        <w:t xml:space="preserve">support the conclusion that </w:t>
      </w:r>
      <w:r w:rsidR="00FD7080" w:rsidRPr="00622335">
        <w:rPr>
          <w:lang w:val="en-GB"/>
        </w:rPr>
        <w:t>DHA-B</w:t>
      </w:r>
      <w:r w:rsidR="00517FD6" w:rsidRPr="00622335">
        <w:rPr>
          <w:lang w:val="en-GB"/>
        </w:rPr>
        <w:t xml:space="preserve"> is a safe source of DHA for supplementation of infant formula. </w:t>
      </w:r>
      <w:r w:rsidRPr="00622335">
        <w:rPr>
          <w:rFonts w:cs="Arial"/>
          <w:szCs w:val="22"/>
          <w:lang w:val="en-GB" w:bidi="ar-SA"/>
        </w:rPr>
        <w:t xml:space="preserve">No evidence was found of risk of genotoxicity, reproductive or developmental toxicity, or toxicity as a consequence of subchronic dietary consumption of either dried </w:t>
      </w:r>
      <w:r w:rsidRPr="00622335">
        <w:rPr>
          <w:i/>
          <w:lang w:val="en-GB" w:bidi="ar-SA"/>
        </w:rPr>
        <w:t>Schizochytrium</w:t>
      </w:r>
      <w:r w:rsidRPr="00622335">
        <w:rPr>
          <w:rFonts w:cs="Arial"/>
          <w:szCs w:val="22"/>
          <w:lang w:val="en-GB" w:bidi="ar-SA"/>
        </w:rPr>
        <w:t xml:space="preserve"> or DHA-B by experimental animals. DHA-B was found to be bioequivalent to DHASCO</w:t>
      </w:r>
      <w:r w:rsidRPr="00622335">
        <w:rPr>
          <w:rFonts w:cs="Arial"/>
          <w:szCs w:val="22"/>
          <w:vertAlign w:val="superscript"/>
          <w:lang w:val="en-GB" w:bidi="ar-SA"/>
        </w:rPr>
        <w:t>®</w:t>
      </w:r>
      <w:r w:rsidRPr="00622335">
        <w:rPr>
          <w:rFonts w:cs="Arial"/>
          <w:szCs w:val="22"/>
          <w:lang w:val="en-GB" w:bidi="ar-SA"/>
        </w:rPr>
        <w:t>, and to have no adverse effects in baby piglets at consumption levels higher than those likely to occur in formula-fed infants.</w:t>
      </w:r>
    </w:p>
    <w:p w14:paraId="7E0FB4D6" w14:textId="77777777" w:rsidR="005B0BAC" w:rsidRPr="00622335" w:rsidRDefault="005B0BAC" w:rsidP="00140882">
      <w:pPr>
        <w:widowControl/>
        <w:rPr>
          <w:color w:val="31849B" w:themeColor="accent5" w:themeShade="BF"/>
          <w:lang w:val="en-GB" w:bidi="ar-SA"/>
        </w:rPr>
      </w:pPr>
    </w:p>
    <w:p w14:paraId="3B996589" w14:textId="1907FCE0" w:rsidR="005B0BAC" w:rsidRPr="00622335" w:rsidRDefault="00FD7080" w:rsidP="005B0BAC">
      <w:pPr>
        <w:rPr>
          <w:lang w:val="en-GB" w:bidi="ar-SA"/>
        </w:rPr>
      </w:pPr>
      <w:r w:rsidRPr="00622335">
        <w:rPr>
          <w:lang w:val="en-GB" w:bidi="ar-SA"/>
        </w:rPr>
        <w:t xml:space="preserve">Limited </w:t>
      </w:r>
      <w:r w:rsidR="005B0BAC" w:rsidRPr="00622335">
        <w:rPr>
          <w:lang w:val="en-GB" w:bidi="ar-SA"/>
        </w:rPr>
        <w:t xml:space="preserve">human studies of </w:t>
      </w:r>
      <w:r w:rsidR="005B0BAC" w:rsidRPr="00622335">
        <w:rPr>
          <w:i/>
          <w:lang w:val="en-GB" w:bidi="ar-SA"/>
        </w:rPr>
        <w:t xml:space="preserve">Schizochytrium </w:t>
      </w:r>
      <w:r w:rsidR="00106D68" w:rsidRPr="00622335">
        <w:rPr>
          <w:i/>
          <w:lang w:val="en-GB" w:bidi="ar-SA"/>
        </w:rPr>
        <w:t xml:space="preserve">sp. </w:t>
      </w:r>
      <w:r w:rsidR="005B0BAC" w:rsidRPr="00622335">
        <w:rPr>
          <w:lang w:val="en-GB" w:bidi="ar-SA"/>
        </w:rPr>
        <w:t xml:space="preserve">or of </w:t>
      </w:r>
      <w:r w:rsidRPr="00622335">
        <w:rPr>
          <w:lang w:val="en-GB" w:bidi="ar-SA"/>
        </w:rPr>
        <w:t>DHA-B</w:t>
      </w:r>
      <w:r w:rsidR="005B0BAC" w:rsidRPr="00622335">
        <w:rPr>
          <w:lang w:val="en-GB" w:bidi="ar-SA"/>
        </w:rPr>
        <w:t xml:space="preserve"> were found. It is noteworthy that </w:t>
      </w:r>
      <w:r w:rsidR="005B0BAC" w:rsidRPr="00622335">
        <w:rPr>
          <w:i/>
          <w:lang w:val="en-GB" w:bidi="ar-SA"/>
        </w:rPr>
        <w:t>Schizochytrium</w:t>
      </w:r>
      <w:r w:rsidR="005B0BAC" w:rsidRPr="00622335">
        <w:rPr>
          <w:lang w:val="en-GB" w:bidi="ar-SA"/>
        </w:rPr>
        <w:t xml:space="preserve"> species are components of the human diet through consumption of shellfish, and that there are no known toxic compounds synthesi</w:t>
      </w:r>
      <w:r w:rsidR="00C94E0D" w:rsidRPr="00622335">
        <w:rPr>
          <w:lang w:val="en-GB" w:bidi="ar-SA"/>
        </w:rPr>
        <w:t>s</w:t>
      </w:r>
      <w:r w:rsidR="005B0BAC" w:rsidRPr="00622335">
        <w:rPr>
          <w:lang w:val="en-GB" w:bidi="ar-SA"/>
        </w:rPr>
        <w:t>ed by any thraustochytrid micro</w:t>
      </w:r>
      <w:r w:rsidR="00C94E0D" w:rsidRPr="00622335">
        <w:rPr>
          <w:lang w:val="en-GB" w:bidi="ar-SA"/>
        </w:rPr>
        <w:t>algae</w:t>
      </w:r>
      <w:r w:rsidR="005B0BAC" w:rsidRPr="00622335">
        <w:rPr>
          <w:lang w:val="en-GB" w:bidi="ar-SA"/>
        </w:rPr>
        <w:t>.</w:t>
      </w:r>
    </w:p>
    <w:p w14:paraId="1EB282BF" w14:textId="351CE7A9" w:rsidR="00BE3399" w:rsidRDefault="00BE3399" w:rsidP="005B0BAC">
      <w:pPr>
        <w:rPr>
          <w:lang w:val="en-GB" w:bidi="ar-SA"/>
        </w:rPr>
      </w:pPr>
      <w:r>
        <w:rPr>
          <w:lang w:val="en-GB" w:bidi="ar-SA"/>
        </w:rPr>
        <w:br w:type="page"/>
      </w:r>
    </w:p>
    <w:p w14:paraId="1CF5BBD7" w14:textId="35674FFD" w:rsidR="009866CB" w:rsidRPr="00622335" w:rsidRDefault="009866CB" w:rsidP="00A056D6">
      <w:pPr>
        <w:keepNext/>
        <w:keepLines/>
        <w:rPr>
          <w:lang w:val="en-GB"/>
        </w:rPr>
      </w:pPr>
      <w:r w:rsidRPr="00622335">
        <w:rPr>
          <w:lang w:val="en-GB"/>
        </w:rPr>
        <w:lastRenderedPageBreak/>
        <w:t xml:space="preserve">The DHA-rich micro-algal oil products are comparable with respect to </w:t>
      </w:r>
      <w:r w:rsidR="005F73F1" w:rsidRPr="00622335">
        <w:rPr>
          <w:lang w:val="en-GB"/>
        </w:rPr>
        <w:t>presence of LC-PUFA, although there is variation in the DHA amount</w:t>
      </w:r>
      <w:r w:rsidRPr="00622335">
        <w:rPr>
          <w:lang w:val="en-GB"/>
        </w:rPr>
        <w:t xml:space="preserve">. The main difference between the products is the ratio of EPA to DHA and the other fatty acids in DHA-B are normal components of edible oils. In general, the fatty acid composition of DHA-B is comparable to that of other oils on the market and the differences are nutritionally insignificant because the maximum amount of omega 3 LC-PUFA that can be added to </w:t>
      </w:r>
      <w:r w:rsidR="00FA31C9">
        <w:rPr>
          <w:lang w:val="en-GB"/>
        </w:rPr>
        <w:t>infant formula products</w:t>
      </w:r>
      <w:r w:rsidR="00FA31C9" w:rsidRPr="00622335">
        <w:rPr>
          <w:lang w:val="en-GB"/>
        </w:rPr>
        <w:t xml:space="preserve"> </w:t>
      </w:r>
      <w:r w:rsidRPr="00622335">
        <w:rPr>
          <w:lang w:val="en-GB"/>
        </w:rPr>
        <w:t xml:space="preserve">is </w:t>
      </w:r>
      <w:r w:rsidR="00FD7080" w:rsidRPr="00622335">
        <w:rPr>
          <w:lang w:val="en-GB"/>
        </w:rPr>
        <w:t>1% of the total fatty acids</w:t>
      </w:r>
      <w:r w:rsidRPr="00622335">
        <w:rPr>
          <w:lang w:val="en-GB"/>
        </w:rPr>
        <w:t>.</w:t>
      </w:r>
    </w:p>
    <w:p w14:paraId="5B6DBAD6" w14:textId="77777777" w:rsidR="007D4C8D" w:rsidRPr="00622335" w:rsidRDefault="007D4C8D" w:rsidP="009866CB">
      <w:pPr>
        <w:rPr>
          <w:lang w:val="en-GB"/>
        </w:rPr>
      </w:pPr>
    </w:p>
    <w:p w14:paraId="73D1F2F9" w14:textId="0E90AD29" w:rsidR="00106D68" w:rsidRPr="00622335" w:rsidRDefault="00106D68" w:rsidP="00106D68">
      <w:pPr>
        <w:rPr>
          <w:rFonts w:eastAsia="Calibri"/>
          <w:lang w:val="en-GB" w:bidi="ar-SA"/>
        </w:rPr>
      </w:pPr>
      <w:r w:rsidRPr="00622335">
        <w:rPr>
          <w:rFonts w:eastAsia="Calibri"/>
          <w:lang w:val="en-GB" w:bidi="ar-SA"/>
        </w:rPr>
        <w:t>An analytical method (AOCS Ce 1b-89) is available for compliance of DHA oils against specifications contained within</w:t>
      </w:r>
      <w:r w:rsidRPr="00622335" w:rsidDel="00330FC7">
        <w:rPr>
          <w:rFonts w:eastAsia="Calibri"/>
          <w:lang w:val="en-GB" w:bidi="ar-SA"/>
        </w:rPr>
        <w:t xml:space="preserve"> </w:t>
      </w:r>
      <w:r w:rsidRPr="00622335">
        <w:rPr>
          <w:rFonts w:eastAsia="Calibri"/>
          <w:lang w:val="en-GB" w:bidi="ar-SA"/>
        </w:rPr>
        <w:t xml:space="preserve">section S3-21 of the Code. The stability of </w:t>
      </w:r>
      <w:r w:rsidR="00FD7080" w:rsidRPr="00622335">
        <w:rPr>
          <w:rFonts w:eastAsia="Calibri"/>
          <w:lang w:val="en-GB" w:bidi="ar-SA"/>
        </w:rPr>
        <w:t>DHA-B</w:t>
      </w:r>
      <w:r w:rsidR="00F16831" w:rsidRPr="00622335">
        <w:rPr>
          <w:rFonts w:eastAsia="Calibri"/>
          <w:lang w:val="en-GB" w:bidi="ar-SA"/>
        </w:rPr>
        <w:t xml:space="preserve"> </w:t>
      </w:r>
      <w:r w:rsidRPr="00622335">
        <w:rPr>
          <w:rFonts w:eastAsia="Calibri"/>
          <w:lang w:val="en-GB" w:bidi="ar-SA"/>
        </w:rPr>
        <w:t xml:space="preserve">within a food matrix such as </w:t>
      </w:r>
      <w:r w:rsidR="00FA3C58" w:rsidRPr="00622335">
        <w:rPr>
          <w:rFonts w:eastAsia="Calibri"/>
          <w:lang w:val="en-GB" w:bidi="ar-SA"/>
        </w:rPr>
        <w:t>infant formula products</w:t>
      </w:r>
      <w:r w:rsidRPr="00622335">
        <w:rPr>
          <w:rFonts w:eastAsia="Calibri"/>
          <w:lang w:val="en-GB" w:bidi="ar-SA"/>
        </w:rPr>
        <w:t xml:space="preserve"> is assured.</w:t>
      </w:r>
      <w:r w:rsidR="007D4C8D" w:rsidRPr="00622335">
        <w:rPr>
          <w:rFonts w:eastAsia="Calibri"/>
          <w:lang w:val="en-GB" w:bidi="ar-SA"/>
        </w:rPr>
        <w:t xml:space="preserve"> </w:t>
      </w:r>
      <w:r w:rsidRPr="00622335">
        <w:rPr>
          <w:rFonts w:eastAsia="Calibri"/>
          <w:lang w:val="en-GB" w:bidi="ar-SA"/>
        </w:rPr>
        <w:t xml:space="preserve">The inclusion of </w:t>
      </w:r>
      <w:r w:rsidRPr="00DE5269">
        <w:rPr>
          <w:rFonts w:eastAsia="Calibri"/>
          <w:lang w:val="en-GB" w:bidi="ar-SA"/>
        </w:rPr>
        <w:t xml:space="preserve">the source of </w:t>
      </w:r>
      <w:r w:rsidR="00FD7080" w:rsidRPr="00DE5269">
        <w:rPr>
          <w:rFonts w:eastAsia="Calibri"/>
          <w:lang w:val="en-GB" w:bidi="ar-SA"/>
        </w:rPr>
        <w:t>DHA-B</w:t>
      </w:r>
      <w:r w:rsidR="00F16831" w:rsidRPr="00DE5269">
        <w:rPr>
          <w:rFonts w:eastAsia="Calibri"/>
          <w:lang w:val="en-GB" w:bidi="ar-SA"/>
        </w:rPr>
        <w:t xml:space="preserve"> </w:t>
      </w:r>
      <w:r w:rsidRPr="00DE5269">
        <w:rPr>
          <w:rFonts w:eastAsia="Calibri"/>
          <w:lang w:val="en-GB" w:bidi="ar-SA"/>
        </w:rPr>
        <w:t>by reference to its American Type Culture Collection</w:t>
      </w:r>
      <w:r w:rsidRPr="00DE5269">
        <w:rPr>
          <w:rFonts w:eastAsia="Calibri"/>
          <w:bCs/>
          <w:lang w:val="en-GB" w:bidi="ar-SA"/>
        </w:rPr>
        <w:t xml:space="preserve"> </w:t>
      </w:r>
      <w:r w:rsidRPr="00DE5269">
        <w:rPr>
          <w:rFonts w:eastAsia="Calibri"/>
          <w:lang w:val="en-GB" w:bidi="ar-SA"/>
        </w:rPr>
        <w:t xml:space="preserve">(ATCC) will be added to </w:t>
      </w:r>
      <w:r w:rsidRPr="00622335">
        <w:rPr>
          <w:rFonts w:eastAsia="Calibri"/>
          <w:lang w:val="en-GB" w:bidi="ar-SA"/>
        </w:rPr>
        <w:t xml:space="preserve">the Code. </w:t>
      </w:r>
    </w:p>
    <w:p w14:paraId="7EE1957F" w14:textId="77777777" w:rsidR="004143E6" w:rsidRPr="00622335" w:rsidRDefault="004143E6" w:rsidP="005B0BAC">
      <w:pPr>
        <w:rPr>
          <w:lang w:val="en-GB"/>
        </w:rPr>
      </w:pPr>
    </w:p>
    <w:p w14:paraId="04418B1C" w14:textId="0AD5E69B" w:rsidR="00DE5269" w:rsidRDefault="00FA3C58" w:rsidP="00FA3C58">
      <w:pPr>
        <w:rPr>
          <w:rFonts w:eastAsia="Calibri"/>
          <w:lang w:val="en-GB" w:bidi="ar-SA"/>
        </w:rPr>
        <w:sectPr w:rsidR="00DE5269" w:rsidSect="0062233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r w:rsidRPr="00622335">
        <w:rPr>
          <w:lang w:val="en-GB"/>
        </w:rPr>
        <w:t xml:space="preserve">The submitted data are considered appropriate to define the nutritional adequacy of DHA-B. </w:t>
      </w:r>
      <w:r w:rsidRPr="00622335">
        <w:rPr>
          <w:lang w:val="en-GB" w:bidi="ar-SA"/>
        </w:rPr>
        <w:t>There is no evidence to suggest that absorption, distribution, metabolism and excretion of DHA-B</w:t>
      </w:r>
      <w:r w:rsidRPr="00622335">
        <w:rPr>
          <w:vertAlign w:val="superscript"/>
          <w:lang w:val="en-GB"/>
        </w:rPr>
        <w:t xml:space="preserve"> </w:t>
      </w:r>
      <w:r w:rsidRPr="00622335">
        <w:rPr>
          <w:lang w:val="en-GB" w:bidi="ar-SA"/>
        </w:rPr>
        <w:t>would be different to that of the other marine micro-algal oils. DHA-B was found to be bioequivalent to DHASCO</w:t>
      </w:r>
      <w:r w:rsidRPr="00622335">
        <w:rPr>
          <w:vertAlign w:val="superscript"/>
          <w:lang w:val="en-GB"/>
        </w:rPr>
        <w:t>®</w:t>
      </w:r>
      <w:r w:rsidRPr="00622335">
        <w:rPr>
          <w:lang w:val="en-GB" w:bidi="ar-SA"/>
        </w:rPr>
        <w:t xml:space="preserve"> in piglets and infants. </w:t>
      </w:r>
      <w:r w:rsidRPr="00622335">
        <w:rPr>
          <w:rFonts w:eastAsia="Calibri"/>
          <w:lang w:val="en-GB" w:bidi="ar-SA"/>
        </w:rPr>
        <w:t xml:space="preserve">FSANZ concludes that the </w:t>
      </w:r>
      <w:r w:rsidR="00200B76">
        <w:rPr>
          <w:rFonts w:eastAsia="Calibri"/>
          <w:lang w:val="en-GB" w:bidi="ar-SA"/>
        </w:rPr>
        <w:t>Applicant</w:t>
      </w:r>
      <w:r w:rsidRPr="00622335">
        <w:rPr>
          <w:rFonts w:eastAsia="Calibri"/>
          <w:lang w:val="en-GB" w:bidi="ar-SA"/>
        </w:rPr>
        <w:t xml:space="preserve"> has provided sufficient technical data to ensure that DHA-B is suitable as an additional, alternative or replacement DHA oil source in </w:t>
      </w:r>
      <w:r w:rsidR="00622335">
        <w:rPr>
          <w:rFonts w:eastAsia="Calibri"/>
          <w:lang w:val="en-GB" w:bidi="ar-SA"/>
        </w:rPr>
        <w:t>infant formula products.</w:t>
      </w:r>
    </w:p>
    <w:p w14:paraId="2111E6A7" w14:textId="3B68DC69" w:rsidR="00562917" w:rsidRPr="008C459D" w:rsidRDefault="00562917" w:rsidP="00A76FA6">
      <w:pPr>
        <w:jc w:val="center"/>
        <w:rPr>
          <w:sz w:val="32"/>
          <w:lang w:val="en-GB"/>
        </w:rPr>
      </w:pPr>
      <w:r w:rsidRPr="008C459D">
        <w:rPr>
          <w:sz w:val="32"/>
          <w:lang w:val="en-GB"/>
        </w:rPr>
        <w:lastRenderedPageBreak/>
        <w:t xml:space="preserve">Table of </w:t>
      </w:r>
      <w:r w:rsidR="00A77BFA" w:rsidRPr="008C459D">
        <w:rPr>
          <w:sz w:val="32"/>
          <w:lang w:val="en-GB"/>
        </w:rPr>
        <w:t>c</w:t>
      </w:r>
      <w:r w:rsidRPr="008C459D">
        <w:rPr>
          <w:sz w:val="32"/>
          <w:lang w:val="en-GB"/>
        </w:rPr>
        <w:t>ontents</w:t>
      </w:r>
    </w:p>
    <w:p w14:paraId="33939947" w14:textId="77777777" w:rsidR="009C60D7" w:rsidRDefault="00326D85">
      <w:pPr>
        <w:pStyle w:val="TOC1"/>
        <w:tabs>
          <w:tab w:val="right" w:leader="dot" w:pos="9060"/>
        </w:tabs>
        <w:rPr>
          <w:rFonts w:eastAsiaTheme="minorEastAsia" w:cstheme="minorBidi"/>
          <w:b w:val="0"/>
          <w:bCs w:val="0"/>
          <w:caps w:val="0"/>
          <w:noProof/>
          <w:sz w:val="22"/>
          <w:szCs w:val="22"/>
          <w:lang w:val="en-GB" w:eastAsia="en-GB" w:bidi="ar-SA"/>
        </w:rPr>
      </w:pPr>
      <w:r w:rsidRPr="008E41F7">
        <w:rPr>
          <w:lang w:val="en-GB"/>
        </w:rPr>
        <w:fldChar w:fldCharType="begin"/>
      </w:r>
      <w:r w:rsidRPr="008C459D">
        <w:rPr>
          <w:lang w:val="en-GB"/>
        </w:rPr>
        <w:instrText xml:space="preserve"> TOC \o "1-3" \h \z \u </w:instrText>
      </w:r>
      <w:r w:rsidRPr="008E41F7">
        <w:rPr>
          <w:lang w:val="en-GB"/>
        </w:rPr>
        <w:fldChar w:fldCharType="separate"/>
      </w:r>
      <w:hyperlink w:anchor="_Toc464129755" w:history="1">
        <w:r w:rsidR="009C60D7" w:rsidRPr="00972204">
          <w:rPr>
            <w:rStyle w:val="Hyperlink"/>
            <w:noProof/>
            <w:lang w:val="en-GB"/>
          </w:rPr>
          <w:t>Executive summary</w:t>
        </w:r>
        <w:r w:rsidR="009C60D7">
          <w:rPr>
            <w:noProof/>
            <w:webHidden/>
          </w:rPr>
          <w:tab/>
        </w:r>
        <w:r w:rsidR="009C60D7">
          <w:rPr>
            <w:noProof/>
            <w:webHidden/>
          </w:rPr>
          <w:fldChar w:fldCharType="begin"/>
        </w:r>
        <w:r w:rsidR="009C60D7">
          <w:rPr>
            <w:noProof/>
            <w:webHidden/>
          </w:rPr>
          <w:instrText xml:space="preserve"> PAGEREF _Toc464129755 \h </w:instrText>
        </w:r>
        <w:r w:rsidR="009C60D7">
          <w:rPr>
            <w:noProof/>
            <w:webHidden/>
          </w:rPr>
        </w:r>
        <w:r w:rsidR="009C60D7">
          <w:rPr>
            <w:noProof/>
            <w:webHidden/>
          </w:rPr>
          <w:fldChar w:fldCharType="separate"/>
        </w:r>
        <w:r w:rsidR="00F51A52">
          <w:rPr>
            <w:noProof/>
            <w:webHidden/>
          </w:rPr>
          <w:t>i</w:t>
        </w:r>
        <w:r w:rsidR="009C60D7">
          <w:rPr>
            <w:noProof/>
            <w:webHidden/>
          </w:rPr>
          <w:fldChar w:fldCharType="end"/>
        </w:r>
      </w:hyperlink>
    </w:p>
    <w:p w14:paraId="406C054C" w14:textId="77777777" w:rsidR="009C60D7" w:rsidRDefault="00AE0960">
      <w:pPr>
        <w:pStyle w:val="TOC1"/>
        <w:tabs>
          <w:tab w:val="right" w:leader="dot" w:pos="9060"/>
        </w:tabs>
        <w:rPr>
          <w:rFonts w:eastAsiaTheme="minorEastAsia" w:cstheme="minorBidi"/>
          <w:b w:val="0"/>
          <w:bCs w:val="0"/>
          <w:caps w:val="0"/>
          <w:noProof/>
          <w:sz w:val="22"/>
          <w:szCs w:val="22"/>
          <w:lang w:val="en-GB" w:eastAsia="en-GB" w:bidi="ar-SA"/>
        </w:rPr>
      </w:pPr>
      <w:hyperlink w:anchor="_Toc464129756" w:history="1">
        <w:r w:rsidR="009C60D7" w:rsidRPr="00972204">
          <w:rPr>
            <w:rStyle w:val="Hyperlink"/>
            <w:noProof/>
            <w:lang w:val="en-GB"/>
          </w:rPr>
          <w:t>Abbreviations</w:t>
        </w:r>
        <w:r w:rsidR="009C60D7">
          <w:rPr>
            <w:noProof/>
            <w:webHidden/>
          </w:rPr>
          <w:tab/>
        </w:r>
        <w:r w:rsidR="009C60D7">
          <w:rPr>
            <w:noProof/>
            <w:webHidden/>
          </w:rPr>
          <w:fldChar w:fldCharType="begin"/>
        </w:r>
        <w:r w:rsidR="009C60D7">
          <w:rPr>
            <w:noProof/>
            <w:webHidden/>
          </w:rPr>
          <w:instrText xml:space="preserve"> PAGEREF _Toc464129756 \h </w:instrText>
        </w:r>
        <w:r w:rsidR="009C60D7">
          <w:rPr>
            <w:noProof/>
            <w:webHidden/>
          </w:rPr>
        </w:r>
        <w:r w:rsidR="009C60D7">
          <w:rPr>
            <w:noProof/>
            <w:webHidden/>
          </w:rPr>
          <w:fldChar w:fldCharType="separate"/>
        </w:r>
        <w:r w:rsidR="00F51A52">
          <w:rPr>
            <w:noProof/>
            <w:webHidden/>
          </w:rPr>
          <w:t>2</w:t>
        </w:r>
        <w:r w:rsidR="009C60D7">
          <w:rPr>
            <w:noProof/>
            <w:webHidden/>
          </w:rPr>
          <w:fldChar w:fldCharType="end"/>
        </w:r>
      </w:hyperlink>
    </w:p>
    <w:p w14:paraId="0B13F98C" w14:textId="77777777" w:rsidR="009C60D7" w:rsidRDefault="00AE0960">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64129757" w:history="1">
        <w:r w:rsidR="009C60D7" w:rsidRPr="00972204">
          <w:rPr>
            <w:rStyle w:val="Hyperlink"/>
            <w:noProof/>
            <w:lang w:val="en-GB"/>
          </w:rPr>
          <w:t>1</w:t>
        </w:r>
        <w:r w:rsidR="009C60D7">
          <w:rPr>
            <w:rFonts w:eastAsiaTheme="minorEastAsia" w:cstheme="minorBidi"/>
            <w:b w:val="0"/>
            <w:bCs w:val="0"/>
            <w:caps w:val="0"/>
            <w:noProof/>
            <w:sz w:val="22"/>
            <w:szCs w:val="22"/>
            <w:lang w:val="en-GB" w:eastAsia="en-GB" w:bidi="ar-SA"/>
          </w:rPr>
          <w:tab/>
        </w:r>
        <w:r w:rsidR="009C60D7" w:rsidRPr="00972204">
          <w:rPr>
            <w:rStyle w:val="Hyperlink"/>
            <w:noProof/>
            <w:lang w:val="en-GB"/>
          </w:rPr>
          <w:t>Background and scope</w:t>
        </w:r>
        <w:r w:rsidR="009C60D7">
          <w:rPr>
            <w:noProof/>
            <w:webHidden/>
          </w:rPr>
          <w:tab/>
        </w:r>
        <w:r w:rsidR="009C60D7">
          <w:rPr>
            <w:noProof/>
            <w:webHidden/>
          </w:rPr>
          <w:fldChar w:fldCharType="begin"/>
        </w:r>
        <w:r w:rsidR="009C60D7">
          <w:rPr>
            <w:noProof/>
            <w:webHidden/>
          </w:rPr>
          <w:instrText xml:space="preserve"> PAGEREF _Toc464129757 \h </w:instrText>
        </w:r>
        <w:r w:rsidR="009C60D7">
          <w:rPr>
            <w:noProof/>
            <w:webHidden/>
          </w:rPr>
        </w:r>
        <w:r w:rsidR="009C60D7">
          <w:rPr>
            <w:noProof/>
            <w:webHidden/>
          </w:rPr>
          <w:fldChar w:fldCharType="separate"/>
        </w:r>
        <w:r w:rsidR="00F51A52">
          <w:rPr>
            <w:noProof/>
            <w:webHidden/>
          </w:rPr>
          <w:t>3</w:t>
        </w:r>
        <w:r w:rsidR="009C60D7">
          <w:rPr>
            <w:noProof/>
            <w:webHidden/>
          </w:rPr>
          <w:fldChar w:fldCharType="end"/>
        </w:r>
      </w:hyperlink>
    </w:p>
    <w:p w14:paraId="18592789"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58" w:history="1">
        <w:r w:rsidR="009C60D7" w:rsidRPr="00972204">
          <w:rPr>
            <w:rStyle w:val="Hyperlink"/>
            <w:noProof/>
          </w:rPr>
          <w:t>1.1</w:t>
        </w:r>
        <w:r w:rsidR="009C60D7">
          <w:rPr>
            <w:rFonts w:eastAsiaTheme="minorEastAsia" w:cstheme="minorBidi"/>
            <w:smallCaps w:val="0"/>
            <w:noProof/>
            <w:sz w:val="22"/>
            <w:szCs w:val="22"/>
            <w:lang w:val="en-GB" w:eastAsia="en-GB" w:bidi="ar-SA"/>
          </w:rPr>
          <w:tab/>
        </w:r>
        <w:r w:rsidR="009C60D7" w:rsidRPr="00972204">
          <w:rPr>
            <w:rStyle w:val="Hyperlink"/>
            <w:noProof/>
          </w:rPr>
          <w:t>Background</w:t>
        </w:r>
        <w:r w:rsidR="009C60D7">
          <w:rPr>
            <w:noProof/>
            <w:webHidden/>
          </w:rPr>
          <w:tab/>
        </w:r>
        <w:r w:rsidR="009C60D7">
          <w:rPr>
            <w:noProof/>
            <w:webHidden/>
          </w:rPr>
          <w:fldChar w:fldCharType="begin"/>
        </w:r>
        <w:r w:rsidR="009C60D7">
          <w:rPr>
            <w:noProof/>
            <w:webHidden/>
          </w:rPr>
          <w:instrText xml:space="preserve"> PAGEREF _Toc464129758 \h </w:instrText>
        </w:r>
        <w:r w:rsidR="009C60D7">
          <w:rPr>
            <w:noProof/>
            <w:webHidden/>
          </w:rPr>
        </w:r>
        <w:r w:rsidR="009C60D7">
          <w:rPr>
            <w:noProof/>
            <w:webHidden/>
          </w:rPr>
          <w:fldChar w:fldCharType="separate"/>
        </w:r>
        <w:r w:rsidR="00F51A52">
          <w:rPr>
            <w:noProof/>
            <w:webHidden/>
          </w:rPr>
          <w:t>3</w:t>
        </w:r>
        <w:r w:rsidR="009C60D7">
          <w:rPr>
            <w:noProof/>
            <w:webHidden/>
          </w:rPr>
          <w:fldChar w:fldCharType="end"/>
        </w:r>
      </w:hyperlink>
    </w:p>
    <w:p w14:paraId="2F4E64AC"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59" w:history="1">
        <w:r w:rsidR="009C60D7" w:rsidRPr="00972204">
          <w:rPr>
            <w:rStyle w:val="Hyperlink"/>
            <w:noProof/>
            <w:lang w:val="en-GB"/>
          </w:rPr>
          <w:t>1.1.2</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Micro-algal oils as a source of LC-PUFA</w:t>
        </w:r>
        <w:r w:rsidR="009C60D7">
          <w:rPr>
            <w:noProof/>
            <w:webHidden/>
          </w:rPr>
          <w:tab/>
        </w:r>
        <w:r w:rsidR="009C60D7">
          <w:rPr>
            <w:noProof/>
            <w:webHidden/>
          </w:rPr>
          <w:fldChar w:fldCharType="begin"/>
        </w:r>
        <w:r w:rsidR="009C60D7">
          <w:rPr>
            <w:noProof/>
            <w:webHidden/>
          </w:rPr>
          <w:instrText xml:space="preserve"> PAGEREF _Toc464129759 \h </w:instrText>
        </w:r>
        <w:r w:rsidR="009C60D7">
          <w:rPr>
            <w:noProof/>
            <w:webHidden/>
          </w:rPr>
        </w:r>
        <w:r w:rsidR="009C60D7">
          <w:rPr>
            <w:noProof/>
            <w:webHidden/>
          </w:rPr>
          <w:fldChar w:fldCharType="separate"/>
        </w:r>
        <w:r w:rsidR="00F51A52">
          <w:rPr>
            <w:noProof/>
            <w:webHidden/>
          </w:rPr>
          <w:t>3</w:t>
        </w:r>
        <w:r w:rsidR="009C60D7">
          <w:rPr>
            <w:noProof/>
            <w:webHidden/>
          </w:rPr>
          <w:fldChar w:fldCharType="end"/>
        </w:r>
      </w:hyperlink>
    </w:p>
    <w:p w14:paraId="6D78F346"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0" w:history="1">
        <w:r w:rsidR="009C60D7" w:rsidRPr="00972204">
          <w:rPr>
            <w:rStyle w:val="Hyperlink"/>
            <w:noProof/>
          </w:rPr>
          <w:t>1.2</w:t>
        </w:r>
        <w:r w:rsidR="009C60D7">
          <w:rPr>
            <w:rFonts w:eastAsiaTheme="minorEastAsia" w:cstheme="minorBidi"/>
            <w:smallCaps w:val="0"/>
            <w:noProof/>
            <w:sz w:val="22"/>
            <w:szCs w:val="22"/>
            <w:lang w:val="en-GB" w:eastAsia="en-GB" w:bidi="ar-SA"/>
          </w:rPr>
          <w:tab/>
        </w:r>
        <w:r w:rsidR="009C60D7" w:rsidRPr="00972204">
          <w:rPr>
            <w:rStyle w:val="Hyperlink"/>
            <w:noProof/>
          </w:rPr>
          <w:t>Risk Assessment context and scope of assessment</w:t>
        </w:r>
        <w:r w:rsidR="009C60D7">
          <w:rPr>
            <w:noProof/>
            <w:webHidden/>
          </w:rPr>
          <w:tab/>
        </w:r>
        <w:r w:rsidR="009C60D7">
          <w:rPr>
            <w:noProof/>
            <w:webHidden/>
          </w:rPr>
          <w:fldChar w:fldCharType="begin"/>
        </w:r>
        <w:r w:rsidR="009C60D7">
          <w:rPr>
            <w:noProof/>
            <w:webHidden/>
          </w:rPr>
          <w:instrText xml:space="preserve"> PAGEREF _Toc464129760 \h </w:instrText>
        </w:r>
        <w:r w:rsidR="009C60D7">
          <w:rPr>
            <w:noProof/>
            <w:webHidden/>
          </w:rPr>
        </w:r>
        <w:r w:rsidR="009C60D7">
          <w:rPr>
            <w:noProof/>
            <w:webHidden/>
          </w:rPr>
          <w:fldChar w:fldCharType="separate"/>
        </w:r>
        <w:r w:rsidR="00F51A52">
          <w:rPr>
            <w:noProof/>
            <w:webHidden/>
          </w:rPr>
          <w:t>3</w:t>
        </w:r>
        <w:r w:rsidR="009C60D7">
          <w:rPr>
            <w:noProof/>
            <w:webHidden/>
          </w:rPr>
          <w:fldChar w:fldCharType="end"/>
        </w:r>
      </w:hyperlink>
    </w:p>
    <w:p w14:paraId="5419A7A2"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1" w:history="1">
        <w:r w:rsidR="009C60D7" w:rsidRPr="00972204">
          <w:rPr>
            <w:rStyle w:val="Hyperlink"/>
            <w:noProof/>
          </w:rPr>
          <w:t>1.3</w:t>
        </w:r>
        <w:r w:rsidR="009C60D7">
          <w:rPr>
            <w:rFonts w:eastAsiaTheme="minorEastAsia" w:cstheme="minorBidi"/>
            <w:smallCaps w:val="0"/>
            <w:noProof/>
            <w:sz w:val="22"/>
            <w:szCs w:val="22"/>
            <w:lang w:val="en-GB" w:eastAsia="en-GB" w:bidi="ar-SA"/>
          </w:rPr>
          <w:tab/>
        </w:r>
        <w:r w:rsidR="009C60D7" w:rsidRPr="00972204">
          <w:rPr>
            <w:rStyle w:val="Hyperlink"/>
            <w:noProof/>
          </w:rPr>
          <w:t>Risk assessment questions</w:t>
        </w:r>
        <w:r w:rsidR="009C60D7">
          <w:rPr>
            <w:noProof/>
            <w:webHidden/>
          </w:rPr>
          <w:tab/>
        </w:r>
        <w:r w:rsidR="009C60D7">
          <w:rPr>
            <w:noProof/>
            <w:webHidden/>
          </w:rPr>
          <w:fldChar w:fldCharType="begin"/>
        </w:r>
        <w:r w:rsidR="009C60D7">
          <w:rPr>
            <w:noProof/>
            <w:webHidden/>
          </w:rPr>
          <w:instrText xml:space="preserve"> PAGEREF _Toc464129761 \h </w:instrText>
        </w:r>
        <w:r w:rsidR="009C60D7">
          <w:rPr>
            <w:noProof/>
            <w:webHidden/>
          </w:rPr>
        </w:r>
        <w:r w:rsidR="009C60D7">
          <w:rPr>
            <w:noProof/>
            <w:webHidden/>
          </w:rPr>
          <w:fldChar w:fldCharType="separate"/>
        </w:r>
        <w:r w:rsidR="00F51A52">
          <w:rPr>
            <w:noProof/>
            <w:webHidden/>
          </w:rPr>
          <w:t>4</w:t>
        </w:r>
        <w:r w:rsidR="009C60D7">
          <w:rPr>
            <w:noProof/>
            <w:webHidden/>
          </w:rPr>
          <w:fldChar w:fldCharType="end"/>
        </w:r>
      </w:hyperlink>
    </w:p>
    <w:p w14:paraId="7740DE92" w14:textId="77777777" w:rsidR="009C60D7" w:rsidRDefault="00AE0960">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64129762" w:history="1">
        <w:r w:rsidR="009C60D7" w:rsidRPr="00972204">
          <w:rPr>
            <w:rStyle w:val="Hyperlink"/>
            <w:noProof/>
            <w:lang w:val="en-GB"/>
          </w:rPr>
          <w:t xml:space="preserve">2 </w:t>
        </w:r>
        <w:r w:rsidR="009C60D7">
          <w:rPr>
            <w:rFonts w:eastAsiaTheme="minorEastAsia" w:cstheme="minorBidi"/>
            <w:b w:val="0"/>
            <w:bCs w:val="0"/>
            <w:caps w:val="0"/>
            <w:noProof/>
            <w:sz w:val="22"/>
            <w:szCs w:val="22"/>
            <w:lang w:val="en-GB" w:eastAsia="en-GB" w:bidi="ar-SA"/>
          </w:rPr>
          <w:tab/>
        </w:r>
        <w:r w:rsidR="009C60D7" w:rsidRPr="00972204">
          <w:rPr>
            <w:rStyle w:val="Hyperlink"/>
            <w:noProof/>
            <w:lang w:val="en-GB"/>
          </w:rPr>
          <w:t>Food Technology Assessment</w:t>
        </w:r>
        <w:r w:rsidR="009C60D7">
          <w:rPr>
            <w:noProof/>
            <w:webHidden/>
          </w:rPr>
          <w:tab/>
        </w:r>
        <w:r w:rsidR="009C60D7">
          <w:rPr>
            <w:noProof/>
            <w:webHidden/>
          </w:rPr>
          <w:fldChar w:fldCharType="begin"/>
        </w:r>
        <w:r w:rsidR="009C60D7">
          <w:rPr>
            <w:noProof/>
            <w:webHidden/>
          </w:rPr>
          <w:instrText xml:space="preserve"> PAGEREF _Toc464129762 \h </w:instrText>
        </w:r>
        <w:r w:rsidR="009C60D7">
          <w:rPr>
            <w:noProof/>
            <w:webHidden/>
          </w:rPr>
        </w:r>
        <w:r w:rsidR="009C60D7">
          <w:rPr>
            <w:noProof/>
            <w:webHidden/>
          </w:rPr>
          <w:fldChar w:fldCharType="separate"/>
        </w:r>
        <w:r w:rsidR="00F51A52">
          <w:rPr>
            <w:noProof/>
            <w:webHidden/>
          </w:rPr>
          <w:t>4</w:t>
        </w:r>
        <w:r w:rsidR="009C60D7">
          <w:rPr>
            <w:noProof/>
            <w:webHidden/>
          </w:rPr>
          <w:fldChar w:fldCharType="end"/>
        </w:r>
      </w:hyperlink>
    </w:p>
    <w:p w14:paraId="0EA77663"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3" w:history="1">
        <w:r w:rsidR="009C60D7" w:rsidRPr="00972204">
          <w:rPr>
            <w:rStyle w:val="Hyperlink"/>
            <w:noProof/>
          </w:rPr>
          <w:t>2.1</w:t>
        </w:r>
        <w:r w:rsidR="009C60D7">
          <w:rPr>
            <w:rFonts w:eastAsiaTheme="minorEastAsia" w:cstheme="minorBidi"/>
            <w:smallCaps w:val="0"/>
            <w:noProof/>
            <w:sz w:val="22"/>
            <w:szCs w:val="22"/>
            <w:lang w:val="en-GB" w:eastAsia="en-GB" w:bidi="ar-SA"/>
          </w:rPr>
          <w:tab/>
        </w:r>
        <w:r w:rsidR="009C60D7" w:rsidRPr="00972204">
          <w:rPr>
            <w:rStyle w:val="Hyperlink"/>
            <w:noProof/>
          </w:rPr>
          <w:t>Identity of the oil</w:t>
        </w:r>
        <w:r w:rsidR="009C60D7">
          <w:rPr>
            <w:noProof/>
            <w:webHidden/>
          </w:rPr>
          <w:tab/>
        </w:r>
        <w:r w:rsidR="009C60D7">
          <w:rPr>
            <w:noProof/>
            <w:webHidden/>
          </w:rPr>
          <w:fldChar w:fldCharType="begin"/>
        </w:r>
        <w:r w:rsidR="009C60D7">
          <w:rPr>
            <w:noProof/>
            <w:webHidden/>
          </w:rPr>
          <w:instrText xml:space="preserve"> PAGEREF _Toc464129763 \h </w:instrText>
        </w:r>
        <w:r w:rsidR="009C60D7">
          <w:rPr>
            <w:noProof/>
            <w:webHidden/>
          </w:rPr>
        </w:r>
        <w:r w:rsidR="009C60D7">
          <w:rPr>
            <w:noProof/>
            <w:webHidden/>
          </w:rPr>
          <w:fldChar w:fldCharType="separate"/>
        </w:r>
        <w:r w:rsidR="00F51A52">
          <w:rPr>
            <w:noProof/>
            <w:webHidden/>
          </w:rPr>
          <w:t>4</w:t>
        </w:r>
        <w:r w:rsidR="009C60D7">
          <w:rPr>
            <w:noProof/>
            <w:webHidden/>
          </w:rPr>
          <w:fldChar w:fldCharType="end"/>
        </w:r>
      </w:hyperlink>
    </w:p>
    <w:p w14:paraId="49756471"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4" w:history="1">
        <w:r w:rsidR="009C60D7" w:rsidRPr="00972204">
          <w:rPr>
            <w:rStyle w:val="Hyperlink"/>
            <w:noProof/>
          </w:rPr>
          <w:t>2.1</w:t>
        </w:r>
        <w:r w:rsidR="009C60D7">
          <w:rPr>
            <w:rFonts w:eastAsiaTheme="minorEastAsia" w:cstheme="minorBidi"/>
            <w:smallCaps w:val="0"/>
            <w:noProof/>
            <w:sz w:val="22"/>
            <w:szCs w:val="22"/>
            <w:lang w:val="en-GB" w:eastAsia="en-GB" w:bidi="ar-SA"/>
          </w:rPr>
          <w:tab/>
        </w:r>
        <w:r w:rsidR="009C60D7" w:rsidRPr="00972204">
          <w:rPr>
            <w:rStyle w:val="Hyperlink"/>
            <w:noProof/>
          </w:rPr>
          <w:t xml:space="preserve">Identity of the </w:t>
        </w:r>
        <w:r w:rsidR="009C60D7" w:rsidRPr="00972204">
          <w:rPr>
            <w:rStyle w:val="Hyperlink"/>
            <w:rFonts w:eastAsia="Calibri"/>
            <w:noProof/>
          </w:rPr>
          <w:t>micro-algal strain</w:t>
        </w:r>
        <w:r w:rsidR="009C60D7">
          <w:rPr>
            <w:noProof/>
            <w:webHidden/>
          </w:rPr>
          <w:tab/>
        </w:r>
        <w:r w:rsidR="009C60D7">
          <w:rPr>
            <w:noProof/>
            <w:webHidden/>
          </w:rPr>
          <w:fldChar w:fldCharType="begin"/>
        </w:r>
        <w:r w:rsidR="009C60D7">
          <w:rPr>
            <w:noProof/>
            <w:webHidden/>
          </w:rPr>
          <w:instrText xml:space="preserve"> PAGEREF _Toc464129764 \h </w:instrText>
        </w:r>
        <w:r w:rsidR="009C60D7">
          <w:rPr>
            <w:noProof/>
            <w:webHidden/>
          </w:rPr>
        </w:r>
        <w:r w:rsidR="009C60D7">
          <w:rPr>
            <w:noProof/>
            <w:webHidden/>
          </w:rPr>
          <w:fldChar w:fldCharType="separate"/>
        </w:r>
        <w:r w:rsidR="00F51A52">
          <w:rPr>
            <w:noProof/>
            <w:webHidden/>
          </w:rPr>
          <w:t>4</w:t>
        </w:r>
        <w:r w:rsidR="009C60D7">
          <w:rPr>
            <w:noProof/>
            <w:webHidden/>
          </w:rPr>
          <w:fldChar w:fldCharType="end"/>
        </w:r>
      </w:hyperlink>
    </w:p>
    <w:p w14:paraId="379B30E6"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5" w:history="1">
        <w:r w:rsidR="009C60D7" w:rsidRPr="00972204">
          <w:rPr>
            <w:rStyle w:val="Hyperlink"/>
            <w:noProof/>
          </w:rPr>
          <w:t>2.2</w:t>
        </w:r>
        <w:r w:rsidR="009C60D7">
          <w:rPr>
            <w:rFonts w:eastAsiaTheme="minorEastAsia" w:cstheme="minorBidi"/>
            <w:smallCaps w:val="0"/>
            <w:noProof/>
            <w:sz w:val="22"/>
            <w:szCs w:val="22"/>
            <w:lang w:val="en-GB" w:eastAsia="en-GB" w:bidi="ar-SA"/>
          </w:rPr>
          <w:tab/>
        </w:r>
        <w:r w:rsidR="009C60D7" w:rsidRPr="00972204">
          <w:rPr>
            <w:rStyle w:val="Hyperlink"/>
            <w:noProof/>
          </w:rPr>
          <w:t>Chemical properties of the oil</w:t>
        </w:r>
        <w:r w:rsidR="009C60D7">
          <w:rPr>
            <w:noProof/>
            <w:webHidden/>
          </w:rPr>
          <w:tab/>
        </w:r>
        <w:r w:rsidR="009C60D7">
          <w:rPr>
            <w:noProof/>
            <w:webHidden/>
          </w:rPr>
          <w:fldChar w:fldCharType="begin"/>
        </w:r>
        <w:r w:rsidR="009C60D7">
          <w:rPr>
            <w:noProof/>
            <w:webHidden/>
          </w:rPr>
          <w:instrText xml:space="preserve"> PAGEREF _Toc464129765 \h </w:instrText>
        </w:r>
        <w:r w:rsidR="009C60D7">
          <w:rPr>
            <w:noProof/>
            <w:webHidden/>
          </w:rPr>
        </w:r>
        <w:r w:rsidR="009C60D7">
          <w:rPr>
            <w:noProof/>
            <w:webHidden/>
          </w:rPr>
          <w:fldChar w:fldCharType="separate"/>
        </w:r>
        <w:r w:rsidR="00F51A52">
          <w:rPr>
            <w:noProof/>
            <w:webHidden/>
          </w:rPr>
          <w:t>5</w:t>
        </w:r>
        <w:r w:rsidR="009C60D7">
          <w:rPr>
            <w:noProof/>
            <w:webHidden/>
          </w:rPr>
          <w:fldChar w:fldCharType="end"/>
        </w:r>
      </w:hyperlink>
    </w:p>
    <w:p w14:paraId="57AFA5F8" w14:textId="77777777" w:rsidR="009C60D7" w:rsidRDefault="00AE0960">
      <w:pPr>
        <w:pStyle w:val="TOC3"/>
        <w:tabs>
          <w:tab w:val="left" w:pos="1320"/>
          <w:tab w:val="right" w:leader="dot" w:pos="9060"/>
        </w:tabs>
        <w:rPr>
          <w:rFonts w:eastAsiaTheme="minorEastAsia" w:cstheme="minorBidi"/>
          <w:i w:val="0"/>
          <w:iCs w:val="0"/>
          <w:noProof/>
          <w:sz w:val="22"/>
          <w:szCs w:val="22"/>
          <w:lang w:val="en-GB" w:eastAsia="en-GB" w:bidi="ar-SA"/>
        </w:rPr>
      </w:pPr>
      <w:hyperlink w:anchor="_Toc464129766" w:history="1">
        <w:r w:rsidR="009C60D7" w:rsidRPr="00972204">
          <w:rPr>
            <w:rStyle w:val="Hyperlink"/>
            <w:noProof/>
            <w:lang w:val="en-GB"/>
          </w:rPr>
          <w:t xml:space="preserve">2.2.1 </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Chemical name, identification and structure</w:t>
        </w:r>
        <w:r w:rsidR="009C60D7">
          <w:rPr>
            <w:noProof/>
            <w:webHidden/>
          </w:rPr>
          <w:tab/>
        </w:r>
        <w:r w:rsidR="009C60D7">
          <w:rPr>
            <w:noProof/>
            <w:webHidden/>
          </w:rPr>
          <w:fldChar w:fldCharType="begin"/>
        </w:r>
        <w:r w:rsidR="009C60D7">
          <w:rPr>
            <w:noProof/>
            <w:webHidden/>
          </w:rPr>
          <w:instrText xml:space="preserve"> PAGEREF _Toc464129766 \h </w:instrText>
        </w:r>
        <w:r w:rsidR="009C60D7">
          <w:rPr>
            <w:noProof/>
            <w:webHidden/>
          </w:rPr>
        </w:r>
        <w:r w:rsidR="009C60D7">
          <w:rPr>
            <w:noProof/>
            <w:webHidden/>
          </w:rPr>
          <w:fldChar w:fldCharType="separate"/>
        </w:r>
        <w:r w:rsidR="00F51A52">
          <w:rPr>
            <w:noProof/>
            <w:webHidden/>
          </w:rPr>
          <w:t>5</w:t>
        </w:r>
        <w:r w:rsidR="009C60D7">
          <w:rPr>
            <w:noProof/>
            <w:webHidden/>
          </w:rPr>
          <w:fldChar w:fldCharType="end"/>
        </w:r>
      </w:hyperlink>
    </w:p>
    <w:p w14:paraId="087F00B3"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7" w:history="1">
        <w:r w:rsidR="009C60D7" w:rsidRPr="00972204">
          <w:rPr>
            <w:rStyle w:val="Hyperlink"/>
            <w:noProof/>
          </w:rPr>
          <w:t>2.3</w:t>
        </w:r>
        <w:r w:rsidR="009C60D7">
          <w:rPr>
            <w:rFonts w:eastAsiaTheme="minorEastAsia" w:cstheme="minorBidi"/>
            <w:smallCaps w:val="0"/>
            <w:noProof/>
            <w:sz w:val="22"/>
            <w:szCs w:val="22"/>
            <w:lang w:val="en-GB" w:eastAsia="en-GB" w:bidi="ar-SA"/>
          </w:rPr>
          <w:tab/>
        </w:r>
        <w:r w:rsidR="009C60D7" w:rsidRPr="00972204">
          <w:rPr>
            <w:rStyle w:val="Hyperlink"/>
            <w:noProof/>
          </w:rPr>
          <w:t>Analytical method for detection</w:t>
        </w:r>
        <w:r w:rsidR="009C60D7">
          <w:rPr>
            <w:noProof/>
            <w:webHidden/>
          </w:rPr>
          <w:tab/>
        </w:r>
        <w:r w:rsidR="009C60D7">
          <w:rPr>
            <w:noProof/>
            <w:webHidden/>
          </w:rPr>
          <w:fldChar w:fldCharType="begin"/>
        </w:r>
        <w:r w:rsidR="009C60D7">
          <w:rPr>
            <w:noProof/>
            <w:webHidden/>
          </w:rPr>
          <w:instrText xml:space="preserve"> PAGEREF _Toc464129767 \h </w:instrText>
        </w:r>
        <w:r w:rsidR="009C60D7">
          <w:rPr>
            <w:noProof/>
            <w:webHidden/>
          </w:rPr>
        </w:r>
        <w:r w:rsidR="009C60D7">
          <w:rPr>
            <w:noProof/>
            <w:webHidden/>
          </w:rPr>
          <w:fldChar w:fldCharType="separate"/>
        </w:r>
        <w:r w:rsidR="00F51A52">
          <w:rPr>
            <w:noProof/>
            <w:webHidden/>
          </w:rPr>
          <w:t>5</w:t>
        </w:r>
        <w:r w:rsidR="009C60D7">
          <w:rPr>
            <w:noProof/>
            <w:webHidden/>
          </w:rPr>
          <w:fldChar w:fldCharType="end"/>
        </w:r>
      </w:hyperlink>
    </w:p>
    <w:p w14:paraId="0B4A9232"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8" w:history="1">
        <w:r w:rsidR="009C60D7" w:rsidRPr="00972204">
          <w:rPr>
            <w:rStyle w:val="Hyperlink"/>
            <w:noProof/>
          </w:rPr>
          <w:t>2.4</w:t>
        </w:r>
        <w:r w:rsidR="009C60D7">
          <w:rPr>
            <w:rFonts w:eastAsiaTheme="minorEastAsia" w:cstheme="minorBidi"/>
            <w:smallCaps w:val="0"/>
            <w:noProof/>
            <w:sz w:val="22"/>
            <w:szCs w:val="22"/>
            <w:lang w:val="en-GB" w:eastAsia="en-GB" w:bidi="ar-SA"/>
          </w:rPr>
          <w:tab/>
        </w:r>
        <w:r w:rsidR="009C60D7" w:rsidRPr="00972204">
          <w:rPr>
            <w:rStyle w:val="Hyperlink"/>
            <w:noProof/>
          </w:rPr>
          <w:t>Product specification</w:t>
        </w:r>
        <w:r w:rsidR="009C60D7">
          <w:rPr>
            <w:noProof/>
            <w:webHidden/>
          </w:rPr>
          <w:tab/>
        </w:r>
        <w:r w:rsidR="009C60D7">
          <w:rPr>
            <w:noProof/>
            <w:webHidden/>
          </w:rPr>
          <w:fldChar w:fldCharType="begin"/>
        </w:r>
        <w:r w:rsidR="009C60D7">
          <w:rPr>
            <w:noProof/>
            <w:webHidden/>
          </w:rPr>
          <w:instrText xml:space="preserve"> PAGEREF _Toc464129768 \h </w:instrText>
        </w:r>
        <w:r w:rsidR="009C60D7">
          <w:rPr>
            <w:noProof/>
            <w:webHidden/>
          </w:rPr>
        </w:r>
        <w:r w:rsidR="009C60D7">
          <w:rPr>
            <w:noProof/>
            <w:webHidden/>
          </w:rPr>
          <w:fldChar w:fldCharType="separate"/>
        </w:r>
        <w:r w:rsidR="00F51A52">
          <w:rPr>
            <w:noProof/>
            <w:webHidden/>
          </w:rPr>
          <w:t>5</w:t>
        </w:r>
        <w:r w:rsidR="009C60D7">
          <w:rPr>
            <w:noProof/>
            <w:webHidden/>
          </w:rPr>
          <w:fldChar w:fldCharType="end"/>
        </w:r>
      </w:hyperlink>
    </w:p>
    <w:p w14:paraId="46D7405C"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69" w:history="1">
        <w:r w:rsidR="009C60D7" w:rsidRPr="00972204">
          <w:rPr>
            <w:rStyle w:val="Hyperlink"/>
            <w:noProof/>
          </w:rPr>
          <w:t>2.5</w:t>
        </w:r>
        <w:r w:rsidR="009C60D7">
          <w:rPr>
            <w:rFonts w:eastAsiaTheme="minorEastAsia" w:cstheme="minorBidi"/>
            <w:smallCaps w:val="0"/>
            <w:noProof/>
            <w:sz w:val="22"/>
            <w:szCs w:val="22"/>
            <w:lang w:val="en-GB" w:eastAsia="en-GB" w:bidi="ar-SA"/>
          </w:rPr>
          <w:tab/>
        </w:r>
        <w:r w:rsidR="009C60D7" w:rsidRPr="00972204">
          <w:rPr>
            <w:rStyle w:val="Hyperlink"/>
            <w:noProof/>
          </w:rPr>
          <w:t>Manufacturing process</w:t>
        </w:r>
        <w:r w:rsidR="009C60D7">
          <w:rPr>
            <w:noProof/>
            <w:webHidden/>
          </w:rPr>
          <w:tab/>
        </w:r>
        <w:r w:rsidR="009C60D7">
          <w:rPr>
            <w:noProof/>
            <w:webHidden/>
          </w:rPr>
          <w:fldChar w:fldCharType="begin"/>
        </w:r>
        <w:r w:rsidR="009C60D7">
          <w:rPr>
            <w:noProof/>
            <w:webHidden/>
          </w:rPr>
          <w:instrText xml:space="preserve"> PAGEREF _Toc464129769 \h </w:instrText>
        </w:r>
        <w:r w:rsidR="009C60D7">
          <w:rPr>
            <w:noProof/>
            <w:webHidden/>
          </w:rPr>
        </w:r>
        <w:r w:rsidR="009C60D7">
          <w:rPr>
            <w:noProof/>
            <w:webHidden/>
          </w:rPr>
          <w:fldChar w:fldCharType="separate"/>
        </w:r>
        <w:r w:rsidR="00F51A52">
          <w:rPr>
            <w:noProof/>
            <w:webHidden/>
          </w:rPr>
          <w:t>6</w:t>
        </w:r>
        <w:r w:rsidR="009C60D7">
          <w:rPr>
            <w:noProof/>
            <w:webHidden/>
          </w:rPr>
          <w:fldChar w:fldCharType="end"/>
        </w:r>
      </w:hyperlink>
    </w:p>
    <w:p w14:paraId="4ACCEC1A"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70" w:history="1">
        <w:r w:rsidR="009C60D7" w:rsidRPr="00972204">
          <w:rPr>
            <w:rStyle w:val="Hyperlink"/>
            <w:noProof/>
          </w:rPr>
          <w:t>2.6</w:t>
        </w:r>
        <w:r w:rsidR="009C60D7">
          <w:rPr>
            <w:rFonts w:eastAsiaTheme="minorEastAsia" w:cstheme="minorBidi"/>
            <w:smallCaps w:val="0"/>
            <w:noProof/>
            <w:sz w:val="22"/>
            <w:szCs w:val="22"/>
            <w:lang w:val="en-GB" w:eastAsia="en-GB" w:bidi="ar-SA"/>
          </w:rPr>
          <w:tab/>
        </w:r>
        <w:r w:rsidR="009C60D7" w:rsidRPr="00972204">
          <w:rPr>
            <w:rStyle w:val="Hyperlink"/>
            <w:noProof/>
          </w:rPr>
          <w:t>Product stability</w:t>
        </w:r>
        <w:r w:rsidR="009C60D7">
          <w:rPr>
            <w:noProof/>
            <w:webHidden/>
          </w:rPr>
          <w:tab/>
        </w:r>
        <w:r w:rsidR="009C60D7">
          <w:rPr>
            <w:noProof/>
            <w:webHidden/>
          </w:rPr>
          <w:fldChar w:fldCharType="begin"/>
        </w:r>
        <w:r w:rsidR="009C60D7">
          <w:rPr>
            <w:noProof/>
            <w:webHidden/>
          </w:rPr>
          <w:instrText xml:space="preserve"> PAGEREF _Toc464129770 \h </w:instrText>
        </w:r>
        <w:r w:rsidR="009C60D7">
          <w:rPr>
            <w:noProof/>
            <w:webHidden/>
          </w:rPr>
        </w:r>
        <w:r w:rsidR="009C60D7">
          <w:rPr>
            <w:noProof/>
            <w:webHidden/>
          </w:rPr>
          <w:fldChar w:fldCharType="separate"/>
        </w:r>
        <w:r w:rsidR="00F51A52">
          <w:rPr>
            <w:noProof/>
            <w:webHidden/>
          </w:rPr>
          <w:t>7</w:t>
        </w:r>
        <w:r w:rsidR="009C60D7">
          <w:rPr>
            <w:noProof/>
            <w:webHidden/>
          </w:rPr>
          <w:fldChar w:fldCharType="end"/>
        </w:r>
      </w:hyperlink>
    </w:p>
    <w:p w14:paraId="328A83C1"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71" w:history="1">
        <w:r w:rsidR="009C60D7" w:rsidRPr="00972204">
          <w:rPr>
            <w:rStyle w:val="Hyperlink"/>
            <w:noProof/>
          </w:rPr>
          <w:t>2.7</w:t>
        </w:r>
        <w:r w:rsidR="009C60D7">
          <w:rPr>
            <w:rFonts w:eastAsiaTheme="minorEastAsia" w:cstheme="minorBidi"/>
            <w:smallCaps w:val="0"/>
            <w:noProof/>
            <w:sz w:val="22"/>
            <w:szCs w:val="22"/>
            <w:lang w:val="en-GB" w:eastAsia="en-GB" w:bidi="ar-SA"/>
          </w:rPr>
          <w:tab/>
        </w:r>
        <w:r w:rsidR="009C60D7" w:rsidRPr="00972204">
          <w:rPr>
            <w:rStyle w:val="Hyperlink"/>
            <w:noProof/>
          </w:rPr>
          <w:t>Food technology conclusion</w:t>
        </w:r>
        <w:r w:rsidR="009C60D7">
          <w:rPr>
            <w:noProof/>
            <w:webHidden/>
          </w:rPr>
          <w:tab/>
        </w:r>
        <w:r w:rsidR="009C60D7">
          <w:rPr>
            <w:noProof/>
            <w:webHidden/>
          </w:rPr>
          <w:fldChar w:fldCharType="begin"/>
        </w:r>
        <w:r w:rsidR="009C60D7">
          <w:rPr>
            <w:noProof/>
            <w:webHidden/>
          </w:rPr>
          <w:instrText xml:space="preserve"> PAGEREF _Toc464129771 \h </w:instrText>
        </w:r>
        <w:r w:rsidR="009C60D7">
          <w:rPr>
            <w:noProof/>
            <w:webHidden/>
          </w:rPr>
        </w:r>
        <w:r w:rsidR="009C60D7">
          <w:rPr>
            <w:noProof/>
            <w:webHidden/>
          </w:rPr>
          <w:fldChar w:fldCharType="separate"/>
        </w:r>
        <w:r w:rsidR="00F51A52">
          <w:rPr>
            <w:noProof/>
            <w:webHidden/>
          </w:rPr>
          <w:t>9</w:t>
        </w:r>
        <w:r w:rsidR="009C60D7">
          <w:rPr>
            <w:noProof/>
            <w:webHidden/>
          </w:rPr>
          <w:fldChar w:fldCharType="end"/>
        </w:r>
      </w:hyperlink>
    </w:p>
    <w:p w14:paraId="06ED4295" w14:textId="77777777" w:rsidR="009C60D7" w:rsidRDefault="00AE0960">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64129772" w:history="1">
        <w:r w:rsidR="009C60D7" w:rsidRPr="00972204">
          <w:rPr>
            <w:rStyle w:val="Hyperlink"/>
            <w:noProof/>
          </w:rPr>
          <w:t>3</w:t>
        </w:r>
        <w:r w:rsidR="009C60D7">
          <w:rPr>
            <w:rFonts w:eastAsiaTheme="minorEastAsia" w:cstheme="minorBidi"/>
            <w:b w:val="0"/>
            <w:bCs w:val="0"/>
            <w:caps w:val="0"/>
            <w:noProof/>
            <w:sz w:val="22"/>
            <w:szCs w:val="22"/>
            <w:lang w:val="en-GB" w:eastAsia="en-GB" w:bidi="ar-SA"/>
          </w:rPr>
          <w:tab/>
        </w:r>
        <w:r w:rsidR="009C60D7" w:rsidRPr="00972204">
          <w:rPr>
            <w:rStyle w:val="Hyperlink"/>
            <w:noProof/>
          </w:rPr>
          <w:t>Hazard Assessment</w:t>
        </w:r>
        <w:r w:rsidR="009C60D7">
          <w:rPr>
            <w:noProof/>
            <w:webHidden/>
          </w:rPr>
          <w:tab/>
        </w:r>
        <w:r w:rsidR="009C60D7">
          <w:rPr>
            <w:noProof/>
            <w:webHidden/>
          </w:rPr>
          <w:fldChar w:fldCharType="begin"/>
        </w:r>
        <w:r w:rsidR="009C60D7">
          <w:rPr>
            <w:noProof/>
            <w:webHidden/>
          </w:rPr>
          <w:instrText xml:space="preserve"> PAGEREF _Toc464129772 \h </w:instrText>
        </w:r>
        <w:r w:rsidR="009C60D7">
          <w:rPr>
            <w:noProof/>
            <w:webHidden/>
          </w:rPr>
        </w:r>
        <w:r w:rsidR="009C60D7">
          <w:rPr>
            <w:noProof/>
            <w:webHidden/>
          </w:rPr>
          <w:fldChar w:fldCharType="separate"/>
        </w:r>
        <w:r w:rsidR="00F51A52">
          <w:rPr>
            <w:noProof/>
            <w:webHidden/>
          </w:rPr>
          <w:t>9</w:t>
        </w:r>
        <w:r w:rsidR="009C60D7">
          <w:rPr>
            <w:noProof/>
            <w:webHidden/>
          </w:rPr>
          <w:fldChar w:fldCharType="end"/>
        </w:r>
      </w:hyperlink>
    </w:p>
    <w:p w14:paraId="571FFBD6"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73" w:history="1">
        <w:r w:rsidR="009C60D7" w:rsidRPr="00972204">
          <w:rPr>
            <w:rStyle w:val="Hyperlink"/>
            <w:noProof/>
          </w:rPr>
          <w:t>3.1</w:t>
        </w:r>
        <w:r w:rsidR="009C60D7">
          <w:rPr>
            <w:rFonts w:eastAsiaTheme="minorEastAsia" w:cstheme="minorBidi"/>
            <w:smallCaps w:val="0"/>
            <w:noProof/>
            <w:sz w:val="22"/>
            <w:szCs w:val="22"/>
            <w:lang w:val="en-GB" w:eastAsia="en-GB" w:bidi="ar-SA"/>
          </w:rPr>
          <w:tab/>
        </w:r>
        <w:r w:rsidR="009C60D7" w:rsidRPr="00972204">
          <w:rPr>
            <w:rStyle w:val="Hyperlink"/>
            <w:noProof/>
          </w:rPr>
          <w:t>Pharmacokinetics</w:t>
        </w:r>
        <w:r w:rsidR="009C60D7">
          <w:rPr>
            <w:noProof/>
            <w:webHidden/>
          </w:rPr>
          <w:tab/>
        </w:r>
        <w:r w:rsidR="009C60D7">
          <w:rPr>
            <w:noProof/>
            <w:webHidden/>
          </w:rPr>
          <w:fldChar w:fldCharType="begin"/>
        </w:r>
        <w:r w:rsidR="009C60D7">
          <w:rPr>
            <w:noProof/>
            <w:webHidden/>
          </w:rPr>
          <w:instrText xml:space="preserve"> PAGEREF _Toc464129773 \h </w:instrText>
        </w:r>
        <w:r w:rsidR="009C60D7">
          <w:rPr>
            <w:noProof/>
            <w:webHidden/>
          </w:rPr>
        </w:r>
        <w:r w:rsidR="009C60D7">
          <w:rPr>
            <w:noProof/>
            <w:webHidden/>
          </w:rPr>
          <w:fldChar w:fldCharType="separate"/>
        </w:r>
        <w:r w:rsidR="00F51A52">
          <w:rPr>
            <w:noProof/>
            <w:webHidden/>
          </w:rPr>
          <w:t>9</w:t>
        </w:r>
        <w:r w:rsidR="009C60D7">
          <w:rPr>
            <w:noProof/>
            <w:webHidden/>
          </w:rPr>
          <w:fldChar w:fldCharType="end"/>
        </w:r>
      </w:hyperlink>
    </w:p>
    <w:p w14:paraId="010D12F1"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74" w:history="1">
        <w:r w:rsidR="009C60D7" w:rsidRPr="00972204">
          <w:rPr>
            <w:rStyle w:val="Hyperlink"/>
            <w:noProof/>
          </w:rPr>
          <w:t>3.2</w:t>
        </w:r>
        <w:r w:rsidR="009C60D7">
          <w:rPr>
            <w:rFonts w:eastAsiaTheme="minorEastAsia" w:cstheme="minorBidi"/>
            <w:smallCaps w:val="0"/>
            <w:noProof/>
            <w:sz w:val="22"/>
            <w:szCs w:val="22"/>
            <w:lang w:val="en-GB" w:eastAsia="en-GB" w:bidi="ar-SA"/>
          </w:rPr>
          <w:tab/>
        </w:r>
        <w:r w:rsidR="009C60D7" w:rsidRPr="00972204">
          <w:rPr>
            <w:rStyle w:val="Hyperlink"/>
            <w:noProof/>
          </w:rPr>
          <w:t>History of human exposure and consumption</w:t>
        </w:r>
        <w:r w:rsidR="009C60D7">
          <w:rPr>
            <w:noProof/>
            <w:webHidden/>
          </w:rPr>
          <w:tab/>
        </w:r>
        <w:r w:rsidR="009C60D7">
          <w:rPr>
            <w:noProof/>
            <w:webHidden/>
          </w:rPr>
          <w:fldChar w:fldCharType="begin"/>
        </w:r>
        <w:r w:rsidR="009C60D7">
          <w:rPr>
            <w:noProof/>
            <w:webHidden/>
          </w:rPr>
          <w:instrText xml:space="preserve"> PAGEREF _Toc464129774 \h </w:instrText>
        </w:r>
        <w:r w:rsidR="009C60D7">
          <w:rPr>
            <w:noProof/>
            <w:webHidden/>
          </w:rPr>
        </w:r>
        <w:r w:rsidR="009C60D7">
          <w:rPr>
            <w:noProof/>
            <w:webHidden/>
          </w:rPr>
          <w:fldChar w:fldCharType="separate"/>
        </w:r>
        <w:r w:rsidR="00F51A52">
          <w:rPr>
            <w:noProof/>
            <w:webHidden/>
          </w:rPr>
          <w:t>9</w:t>
        </w:r>
        <w:r w:rsidR="009C60D7">
          <w:rPr>
            <w:noProof/>
            <w:webHidden/>
          </w:rPr>
          <w:fldChar w:fldCharType="end"/>
        </w:r>
      </w:hyperlink>
    </w:p>
    <w:p w14:paraId="6D9C64FD"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75" w:history="1">
        <w:r w:rsidR="009C60D7" w:rsidRPr="00972204">
          <w:rPr>
            <w:rStyle w:val="Hyperlink"/>
            <w:noProof/>
            <w:lang w:val="en-GB"/>
          </w:rPr>
          <w:t>3.2.1</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Source organism</w:t>
        </w:r>
        <w:r w:rsidR="009C60D7">
          <w:rPr>
            <w:noProof/>
            <w:webHidden/>
          </w:rPr>
          <w:tab/>
        </w:r>
        <w:r w:rsidR="009C60D7">
          <w:rPr>
            <w:noProof/>
            <w:webHidden/>
          </w:rPr>
          <w:fldChar w:fldCharType="begin"/>
        </w:r>
        <w:r w:rsidR="009C60D7">
          <w:rPr>
            <w:noProof/>
            <w:webHidden/>
          </w:rPr>
          <w:instrText xml:space="preserve"> PAGEREF _Toc464129775 \h </w:instrText>
        </w:r>
        <w:r w:rsidR="009C60D7">
          <w:rPr>
            <w:noProof/>
            <w:webHidden/>
          </w:rPr>
        </w:r>
        <w:r w:rsidR="009C60D7">
          <w:rPr>
            <w:noProof/>
            <w:webHidden/>
          </w:rPr>
          <w:fldChar w:fldCharType="separate"/>
        </w:r>
        <w:r w:rsidR="00F51A52">
          <w:rPr>
            <w:noProof/>
            <w:webHidden/>
          </w:rPr>
          <w:t>9</w:t>
        </w:r>
        <w:r w:rsidR="009C60D7">
          <w:rPr>
            <w:noProof/>
            <w:webHidden/>
          </w:rPr>
          <w:fldChar w:fldCharType="end"/>
        </w:r>
      </w:hyperlink>
    </w:p>
    <w:p w14:paraId="23DB3C05"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76" w:history="1">
        <w:r w:rsidR="009C60D7" w:rsidRPr="00972204">
          <w:rPr>
            <w:rStyle w:val="Hyperlink"/>
            <w:noProof/>
            <w:lang w:val="en-GB"/>
          </w:rPr>
          <w:t>3.2.2</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DHA-rich algal oils</w:t>
        </w:r>
        <w:r w:rsidR="009C60D7">
          <w:rPr>
            <w:noProof/>
            <w:webHidden/>
          </w:rPr>
          <w:tab/>
        </w:r>
        <w:r w:rsidR="009C60D7">
          <w:rPr>
            <w:noProof/>
            <w:webHidden/>
          </w:rPr>
          <w:fldChar w:fldCharType="begin"/>
        </w:r>
        <w:r w:rsidR="009C60D7">
          <w:rPr>
            <w:noProof/>
            <w:webHidden/>
          </w:rPr>
          <w:instrText xml:space="preserve"> PAGEREF _Toc464129776 \h </w:instrText>
        </w:r>
        <w:r w:rsidR="009C60D7">
          <w:rPr>
            <w:noProof/>
            <w:webHidden/>
          </w:rPr>
        </w:r>
        <w:r w:rsidR="009C60D7">
          <w:rPr>
            <w:noProof/>
            <w:webHidden/>
          </w:rPr>
          <w:fldChar w:fldCharType="separate"/>
        </w:r>
        <w:r w:rsidR="00F51A52">
          <w:rPr>
            <w:noProof/>
            <w:webHidden/>
          </w:rPr>
          <w:t>9</w:t>
        </w:r>
        <w:r w:rsidR="009C60D7">
          <w:rPr>
            <w:noProof/>
            <w:webHidden/>
          </w:rPr>
          <w:fldChar w:fldCharType="end"/>
        </w:r>
      </w:hyperlink>
    </w:p>
    <w:p w14:paraId="2C9A3F72"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77" w:history="1">
        <w:r w:rsidR="009C60D7" w:rsidRPr="00972204">
          <w:rPr>
            <w:rStyle w:val="Hyperlink"/>
            <w:noProof/>
          </w:rPr>
          <w:t>3.3</w:t>
        </w:r>
        <w:r w:rsidR="009C60D7">
          <w:rPr>
            <w:rFonts w:eastAsiaTheme="minorEastAsia" w:cstheme="minorBidi"/>
            <w:smallCaps w:val="0"/>
            <w:noProof/>
            <w:sz w:val="22"/>
            <w:szCs w:val="22"/>
            <w:lang w:val="en-GB" w:eastAsia="en-GB" w:bidi="ar-SA"/>
          </w:rPr>
          <w:tab/>
        </w:r>
        <w:r w:rsidR="009C60D7" w:rsidRPr="00972204">
          <w:rPr>
            <w:rStyle w:val="Hyperlink"/>
            <w:noProof/>
          </w:rPr>
          <w:t>Genotoxicity studies</w:t>
        </w:r>
        <w:r w:rsidR="009C60D7">
          <w:rPr>
            <w:noProof/>
            <w:webHidden/>
          </w:rPr>
          <w:tab/>
        </w:r>
        <w:r w:rsidR="009C60D7">
          <w:rPr>
            <w:noProof/>
            <w:webHidden/>
          </w:rPr>
          <w:fldChar w:fldCharType="begin"/>
        </w:r>
        <w:r w:rsidR="009C60D7">
          <w:rPr>
            <w:noProof/>
            <w:webHidden/>
          </w:rPr>
          <w:instrText xml:space="preserve"> PAGEREF _Toc464129777 \h </w:instrText>
        </w:r>
        <w:r w:rsidR="009C60D7">
          <w:rPr>
            <w:noProof/>
            <w:webHidden/>
          </w:rPr>
        </w:r>
        <w:r w:rsidR="009C60D7">
          <w:rPr>
            <w:noProof/>
            <w:webHidden/>
          </w:rPr>
          <w:fldChar w:fldCharType="separate"/>
        </w:r>
        <w:r w:rsidR="00F51A52">
          <w:rPr>
            <w:noProof/>
            <w:webHidden/>
          </w:rPr>
          <w:t>10</w:t>
        </w:r>
        <w:r w:rsidR="009C60D7">
          <w:rPr>
            <w:noProof/>
            <w:webHidden/>
          </w:rPr>
          <w:fldChar w:fldCharType="end"/>
        </w:r>
      </w:hyperlink>
    </w:p>
    <w:p w14:paraId="3480B1A9"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78" w:history="1">
        <w:r w:rsidR="009C60D7" w:rsidRPr="00972204">
          <w:rPr>
            <w:rStyle w:val="Hyperlink"/>
            <w:noProof/>
            <w:lang w:val="en-GB"/>
          </w:rPr>
          <w:t>3.3.1</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Source organism</w:t>
        </w:r>
        <w:r w:rsidR="009C60D7">
          <w:rPr>
            <w:noProof/>
            <w:webHidden/>
          </w:rPr>
          <w:tab/>
        </w:r>
        <w:r w:rsidR="009C60D7">
          <w:rPr>
            <w:noProof/>
            <w:webHidden/>
          </w:rPr>
          <w:fldChar w:fldCharType="begin"/>
        </w:r>
        <w:r w:rsidR="009C60D7">
          <w:rPr>
            <w:noProof/>
            <w:webHidden/>
          </w:rPr>
          <w:instrText xml:space="preserve"> PAGEREF _Toc464129778 \h </w:instrText>
        </w:r>
        <w:r w:rsidR="009C60D7">
          <w:rPr>
            <w:noProof/>
            <w:webHidden/>
          </w:rPr>
        </w:r>
        <w:r w:rsidR="009C60D7">
          <w:rPr>
            <w:noProof/>
            <w:webHidden/>
          </w:rPr>
          <w:fldChar w:fldCharType="separate"/>
        </w:r>
        <w:r w:rsidR="00F51A52">
          <w:rPr>
            <w:noProof/>
            <w:webHidden/>
          </w:rPr>
          <w:t>10</w:t>
        </w:r>
        <w:r w:rsidR="009C60D7">
          <w:rPr>
            <w:noProof/>
            <w:webHidden/>
          </w:rPr>
          <w:fldChar w:fldCharType="end"/>
        </w:r>
      </w:hyperlink>
    </w:p>
    <w:p w14:paraId="482C718B"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79" w:history="1">
        <w:r w:rsidR="009C60D7" w:rsidRPr="00972204">
          <w:rPr>
            <w:rStyle w:val="Hyperlink"/>
            <w:noProof/>
            <w:lang w:val="en-GB"/>
          </w:rPr>
          <w:t>3.3.2</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DHA-B, aqueous extraction</w:t>
        </w:r>
        <w:r w:rsidR="009C60D7">
          <w:rPr>
            <w:noProof/>
            <w:webHidden/>
          </w:rPr>
          <w:tab/>
        </w:r>
        <w:r w:rsidR="009C60D7">
          <w:rPr>
            <w:noProof/>
            <w:webHidden/>
          </w:rPr>
          <w:fldChar w:fldCharType="begin"/>
        </w:r>
        <w:r w:rsidR="009C60D7">
          <w:rPr>
            <w:noProof/>
            <w:webHidden/>
          </w:rPr>
          <w:instrText xml:space="preserve"> PAGEREF _Toc464129779 \h </w:instrText>
        </w:r>
        <w:r w:rsidR="009C60D7">
          <w:rPr>
            <w:noProof/>
            <w:webHidden/>
          </w:rPr>
        </w:r>
        <w:r w:rsidR="009C60D7">
          <w:rPr>
            <w:noProof/>
            <w:webHidden/>
          </w:rPr>
          <w:fldChar w:fldCharType="separate"/>
        </w:r>
        <w:r w:rsidR="00F51A52">
          <w:rPr>
            <w:noProof/>
            <w:webHidden/>
          </w:rPr>
          <w:t>11</w:t>
        </w:r>
        <w:r w:rsidR="009C60D7">
          <w:rPr>
            <w:noProof/>
            <w:webHidden/>
          </w:rPr>
          <w:fldChar w:fldCharType="end"/>
        </w:r>
      </w:hyperlink>
    </w:p>
    <w:p w14:paraId="6C0CB078"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80" w:history="1">
        <w:r w:rsidR="009C60D7" w:rsidRPr="00972204">
          <w:rPr>
            <w:rStyle w:val="Hyperlink"/>
            <w:noProof/>
            <w:lang w:val="en-GB"/>
          </w:rPr>
          <w:t>3.3.3</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DHA-B, IPA extraction</w:t>
        </w:r>
        <w:r w:rsidR="009C60D7">
          <w:rPr>
            <w:noProof/>
            <w:webHidden/>
          </w:rPr>
          <w:tab/>
        </w:r>
        <w:r w:rsidR="009C60D7">
          <w:rPr>
            <w:noProof/>
            <w:webHidden/>
          </w:rPr>
          <w:fldChar w:fldCharType="begin"/>
        </w:r>
        <w:r w:rsidR="009C60D7">
          <w:rPr>
            <w:noProof/>
            <w:webHidden/>
          </w:rPr>
          <w:instrText xml:space="preserve"> PAGEREF _Toc464129780 \h </w:instrText>
        </w:r>
        <w:r w:rsidR="009C60D7">
          <w:rPr>
            <w:noProof/>
            <w:webHidden/>
          </w:rPr>
        </w:r>
        <w:r w:rsidR="009C60D7">
          <w:rPr>
            <w:noProof/>
            <w:webHidden/>
          </w:rPr>
          <w:fldChar w:fldCharType="separate"/>
        </w:r>
        <w:r w:rsidR="00F51A52">
          <w:rPr>
            <w:noProof/>
            <w:webHidden/>
          </w:rPr>
          <w:t>12</w:t>
        </w:r>
        <w:r w:rsidR="009C60D7">
          <w:rPr>
            <w:noProof/>
            <w:webHidden/>
          </w:rPr>
          <w:fldChar w:fldCharType="end"/>
        </w:r>
      </w:hyperlink>
    </w:p>
    <w:p w14:paraId="3DDAD6AB"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81" w:history="1">
        <w:r w:rsidR="009C60D7" w:rsidRPr="00972204">
          <w:rPr>
            <w:rStyle w:val="Hyperlink"/>
            <w:noProof/>
          </w:rPr>
          <w:t>3.4</w:t>
        </w:r>
        <w:r w:rsidR="009C60D7">
          <w:rPr>
            <w:rFonts w:eastAsiaTheme="minorEastAsia" w:cstheme="minorBidi"/>
            <w:smallCaps w:val="0"/>
            <w:noProof/>
            <w:sz w:val="22"/>
            <w:szCs w:val="22"/>
            <w:lang w:val="en-GB" w:eastAsia="en-GB" w:bidi="ar-SA"/>
          </w:rPr>
          <w:tab/>
        </w:r>
        <w:r w:rsidR="009C60D7" w:rsidRPr="00972204">
          <w:rPr>
            <w:rStyle w:val="Hyperlink"/>
            <w:noProof/>
          </w:rPr>
          <w:t>Studies in experimental animals</w:t>
        </w:r>
        <w:r w:rsidR="009C60D7">
          <w:rPr>
            <w:noProof/>
            <w:webHidden/>
          </w:rPr>
          <w:tab/>
        </w:r>
        <w:r w:rsidR="009C60D7">
          <w:rPr>
            <w:noProof/>
            <w:webHidden/>
          </w:rPr>
          <w:fldChar w:fldCharType="begin"/>
        </w:r>
        <w:r w:rsidR="009C60D7">
          <w:rPr>
            <w:noProof/>
            <w:webHidden/>
          </w:rPr>
          <w:instrText xml:space="preserve"> PAGEREF _Toc464129781 \h </w:instrText>
        </w:r>
        <w:r w:rsidR="009C60D7">
          <w:rPr>
            <w:noProof/>
            <w:webHidden/>
          </w:rPr>
        </w:r>
        <w:r w:rsidR="009C60D7">
          <w:rPr>
            <w:noProof/>
            <w:webHidden/>
          </w:rPr>
          <w:fldChar w:fldCharType="separate"/>
        </w:r>
        <w:r w:rsidR="00F51A52">
          <w:rPr>
            <w:noProof/>
            <w:webHidden/>
          </w:rPr>
          <w:t>14</w:t>
        </w:r>
        <w:r w:rsidR="009C60D7">
          <w:rPr>
            <w:noProof/>
            <w:webHidden/>
          </w:rPr>
          <w:fldChar w:fldCharType="end"/>
        </w:r>
      </w:hyperlink>
    </w:p>
    <w:p w14:paraId="0F6A2754"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82" w:history="1">
        <w:r w:rsidR="009C60D7" w:rsidRPr="00972204">
          <w:rPr>
            <w:rStyle w:val="Hyperlink"/>
            <w:noProof/>
            <w:lang w:val="en-GB"/>
          </w:rPr>
          <w:t>3.4.1</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Source organism</w:t>
        </w:r>
        <w:r w:rsidR="009C60D7">
          <w:rPr>
            <w:noProof/>
            <w:webHidden/>
          </w:rPr>
          <w:tab/>
        </w:r>
        <w:r w:rsidR="009C60D7">
          <w:rPr>
            <w:noProof/>
            <w:webHidden/>
          </w:rPr>
          <w:fldChar w:fldCharType="begin"/>
        </w:r>
        <w:r w:rsidR="009C60D7">
          <w:rPr>
            <w:noProof/>
            <w:webHidden/>
          </w:rPr>
          <w:instrText xml:space="preserve"> PAGEREF _Toc464129782 \h </w:instrText>
        </w:r>
        <w:r w:rsidR="009C60D7">
          <w:rPr>
            <w:noProof/>
            <w:webHidden/>
          </w:rPr>
        </w:r>
        <w:r w:rsidR="009C60D7">
          <w:rPr>
            <w:noProof/>
            <w:webHidden/>
          </w:rPr>
          <w:fldChar w:fldCharType="separate"/>
        </w:r>
        <w:r w:rsidR="00F51A52">
          <w:rPr>
            <w:noProof/>
            <w:webHidden/>
          </w:rPr>
          <w:t>14</w:t>
        </w:r>
        <w:r w:rsidR="009C60D7">
          <w:rPr>
            <w:noProof/>
            <w:webHidden/>
          </w:rPr>
          <w:fldChar w:fldCharType="end"/>
        </w:r>
      </w:hyperlink>
    </w:p>
    <w:p w14:paraId="767386BF"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83" w:history="1">
        <w:r w:rsidR="009C60D7" w:rsidRPr="00972204">
          <w:rPr>
            <w:rStyle w:val="Hyperlink"/>
            <w:noProof/>
            <w:lang w:val="en-GB"/>
          </w:rPr>
          <w:t>3.4.2</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DHA-B, aqueous extraction</w:t>
        </w:r>
        <w:r w:rsidR="009C60D7">
          <w:rPr>
            <w:noProof/>
            <w:webHidden/>
          </w:rPr>
          <w:tab/>
        </w:r>
        <w:r w:rsidR="009C60D7">
          <w:rPr>
            <w:noProof/>
            <w:webHidden/>
          </w:rPr>
          <w:fldChar w:fldCharType="begin"/>
        </w:r>
        <w:r w:rsidR="009C60D7">
          <w:rPr>
            <w:noProof/>
            <w:webHidden/>
          </w:rPr>
          <w:instrText xml:space="preserve"> PAGEREF _Toc464129783 \h </w:instrText>
        </w:r>
        <w:r w:rsidR="009C60D7">
          <w:rPr>
            <w:noProof/>
            <w:webHidden/>
          </w:rPr>
        </w:r>
        <w:r w:rsidR="009C60D7">
          <w:rPr>
            <w:noProof/>
            <w:webHidden/>
          </w:rPr>
          <w:fldChar w:fldCharType="separate"/>
        </w:r>
        <w:r w:rsidR="00F51A52">
          <w:rPr>
            <w:noProof/>
            <w:webHidden/>
          </w:rPr>
          <w:t>17</w:t>
        </w:r>
        <w:r w:rsidR="009C60D7">
          <w:rPr>
            <w:noProof/>
            <w:webHidden/>
          </w:rPr>
          <w:fldChar w:fldCharType="end"/>
        </w:r>
      </w:hyperlink>
    </w:p>
    <w:p w14:paraId="4905474B"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84" w:history="1">
        <w:r w:rsidR="009C60D7" w:rsidRPr="00972204">
          <w:rPr>
            <w:rStyle w:val="Hyperlink"/>
            <w:rFonts w:cs="Arial"/>
            <w:noProof/>
            <w:lang w:val="en-GB"/>
          </w:rPr>
          <w:t>3.4.3</w:t>
        </w:r>
        <w:r w:rsidR="009C60D7">
          <w:rPr>
            <w:rFonts w:eastAsiaTheme="minorEastAsia" w:cstheme="minorBidi"/>
            <w:i w:val="0"/>
            <w:iCs w:val="0"/>
            <w:noProof/>
            <w:sz w:val="22"/>
            <w:szCs w:val="22"/>
            <w:lang w:val="en-GB" w:eastAsia="en-GB" w:bidi="ar-SA"/>
          </w:rPr>
          <w:tab/>
        </w:r>
        <w:r w:rsidR="009C60D7" w:rsidRPr="00972204">
          <w:rPr>
            <w:rStyle w:val="Hyperlink"/>
            <w:rFonts w:cs="Arial"/>
            <w:noProof/>
            <w:lang w:val="en-GB"/>
          </w:rPr>
          <w:t>DHA-B</w:t>
        </w:r>
        <w:r w:rsidR="009C60D7" w:rsidRPr="00972204">
          <w:rPr>
            <w:rStyle w:val="Hyperlink"/>
            <w:noProof/>
            <w:lang w:val="en-GB"/>
          </w:rPr>
          <w:t>, IPA extraction</w:t>
        </w:r>
        <w:r w:rsidR="009C60D7">
          <w:rPr>
            <w:noProof/>
            <w:webHidden/>
          </w:rPr>
          <w:tab/>
        </w:r>
        <w:r w:rsidR="009C60D7">
          <w:rPr>
            <w:noProof/>
            <w:webHidden/>
          </w:rPr>
          <w:fldChar w:fldCharType="begin"/>
        </w:r>
        <w:r w:rsidR="009C60D7">
          <w:rPr>
            <w:noProof/>
            <w:webHidden/>
          </w:rPr>
          <w:instrText xml:space="preserve"> PAGEREF _Toc464129784 \h </w:instrText>
        </w:r>
        <w:r w:rsidR="009C60D7">
          <w:rPr>
            <w:noProof/>
            <w:webHidden/>
          </w:rPr>
        </w:r>
        <w:r w:rsidR="009C60D7">
          <w:rPr>
            <w:noProof/>
            <w:webHidden/>
          </w:rPr>
          <w:fldChar w:fldCharType="separate"/>
        </w:r>
        <w:r w:rsidR="00F51A52">
          <w:rPr>
            <w:noProof/>
            <w:webHidden/>
          </w:rPr>
          <w:t>18</w:t>
        </w:r>
        <w:r w:rsidR="009C60D7">
          <w:rPr>
            <w:noProof/>
            <w:webHidden/>
          </w:rPr>
          <w:fldChar w:fldCharType="end"/>
        </w:r>
      </w:hyperlink>
    </w:p>
    <w:p w14:paraId="6A8CF677"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85" w:history="1">
        <w:r w:rsidR="009C60D7" w:rsidRPr="00972204">
          <w:rPr>
            <w:rStyle w:val="Hyperlink"/>
            <w:noProof/>
          </w:rPr>
          <w:t>3.5</w:t>
        </w:r>
        <w:r w:rsidR="009C60D7">
          <w:rPr>
            <w:rFonts w:eastAsiaTheme="minorEastAsia" w:cstheme="minorBidi"/>
            <w:smallCaps w:val="0"/>
            <w:noProof/>
            <w:sz w:val="22"/>
            <w:szCs w:val="22"/>
            <w:lang w:val="en-GB" w:eastAsia="en-GB" w:bidi="ar-SA"/>
          </w:rPr>
          <w:tab/>
        </w:r>
        <w:r w:rsidR="009C60D7" w:rsidRPr="00972204">
          <w:rPr>
            <w:rStyle w:val="Hyperlink"/>
            <w:noProof/>
          </w:rPr>
          <w:t>Studies in humans</w:t>
        </w:r>
        <w:r w:rsidR="009C60D7">
          <w:rPr>
            <w:noProof/>
            <w:webHidden/>
          </w:rPr>
          <w:tab/>
        </w:r>
        <w:r w:rsidR="009C60D7">
          <w:rPr>
            <w:noProof/>
            <w:webHidden/>
          </w:rPr>
          <w:fldChar w:fldCharType="begin"/>
        </w:r>
        <w:r w:rsidR="009C60D7">
          <w:rPr>
            <w:noProof/>
            <w:webHidden/>
          </w:rPr>
          <w:instrText xml:space="preserve"> PAGEREF _Toc464129785 \h </w:instrText>
        </w:r>
        <w:r w:rsidR="009C60D7">
          <w:rPr>
            <w:noProof/>
            <w:webHidden/>
          </w:rPr>
        </w:r>
        <w:r w:rsidR="009C60D7">
          <w:rPr>
            <w:noProof/>
            <w:webHidden/>
          </w:rPr>
          <w:fldChar w:fldCharType="separate"/>
        </w:r>
        <w:r w:rsidR="00F51A52">
          <w:rPr>
            <w:noProof/>
            <w:webHidden/>
          </w:rPr>
          <w:t>20</w:t>
        </w:r>
        <w:r w:rsidR="009C60D7">
          <w:rPr>
            <w:noProof/>
            <w:webHidden/>
          </w:rPr>
          <w:fldChar w:fldCharType="end"/>
        </w:r>
      </w:hyperlink>
    </w:p>
    <w:p w14:paraId="3CD8147D"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86" w:history="1">
        <w:r w:rsidR="009C60D7" w:rsidRPr="00972204">
          <w:rPr>
            <w:rStyle w:val="Hyperlink"/>
            <w:noProof/>
          </w:rPr>
          <w:t>3.6</w:t>
        </w:r>
        <w:r w:rsidR="009C60D7">
          <w:rPr>
            <w:rFonts w:eastAsiaTheme="minorEastAsia" w:cstheme="minorBidi"/>
            <w:smallCaps w:val="0"/>
            <w:noProof/>
            <w:sz w:val="22"/>
            <w:szCs w:val="22"/>
            <w:lang w:val="en-GB" w:eastAsia="en-GB" w:bidi="ar-SA"/>
          </w:rPr>
          <w:tab/>
        </w:r>
        <w:r w:rsidR="009C60D7" w:rsidRPr="00972204">
          <w:rPr>
            <w:rStyle w:val="Hyperlink"/>
            <w:noProof/>
          </w:rPr>
          <w:t>Hazard assessment discussion</w:t>
        </w:r>
        <w:r w:rsidR="009C60D7">
          <w:rPr>
            <w:noProof/>
            <w:webHidden/>
          </w:rPr>
          <w:tab/>
        </w:r>
        <w:r w:rsidR="009C60D7">
          <w:rPr>
            <w:noProof/>
            <w:webHidden/>
          </w:rPr>
          <w:fldChar w:fldCharType="begin"/>
        </w:r>
        <w:r w:rsidR="009C60D7">
          <w:rPr>
            <w:noProof/>
            <w:webHidden/>
          </w:rPr>
          <w:instrText xml:space="preserve"> PAGEREF _Toc464129786 \h </w:instrText>
        </w:r>
        <w:r w:rsidR="009C60D7">
          <w:rPr>
            <w:noProof/>
            <w:webHidden/>
          </w:rPr>
        </w:r>
        <w:r w:rsidR="009C60D7">
          <w:rPr>
            <w:noProof/>
            <w:webHidden/>
          </w:rPr>
          <w:fldChar w:fldCharType="separate"/>
        </w:r>
        <w:r w:rsidR="00F51A52">
          <w:rPr>
            <w:noProof/>
            <w:webHidden/>
          </w:rPr>
          <w:t>20</w:t>
        </w:r>
        <w:r w:rsidR="009C60D7">
          <w:rPr>
            <w:noProof/>
            <w:webHidden/>
          </w:rPr>
          <w:fldChar w:fldCharType="end"/>
        </w:r>
      </w:hyperlink>
    </w:p>
    <w:p w14:paraId="4896D068"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87" w:history="1">
        <w:r w:rsidR="009C60D7" w:rsidRPr="00972204">
          <w:rPr>
            <w:rStyle w:val="Hyperlink"/>
            <w:noProof/>
          </w:rPr>
          <w:t>3.7</w:t>
        </w:r>
        <w:r w:rsidR="009C60D7">
          <w:rPr>
            <w:rFonts w:eastAsiaTheme="minorEastAsia" w:cstheme="minorBidi"/>
            <w:smallCaps w:val="0"/>
            <w:noProof/>
            <w:sz w:val="22"/>
            <w:szCs w:val="22"/>
            <w:lang w:val="en-GB" w:eastAsia="en-GB" w:bidi="ar-SA"/>
          </w:rPr>
          <w:tab/>
        </w:r>
        <w:r w:rsidR="009C60D7" w:rsidRPr="00972204">
          <w:rPr>
            <w:rStyle w:val="Hyperlink"/>
            <w:noProof/>
          </w:rPr>
          <w:t>Hazard assessment conclusions</w:t>
        </w:r>
        <w:r w:rsidR="009C60D7">
          <w:rPr>
            <w:noProof/>
            <w:webHidden/>
          </w:rPr>
          <w:tab/>
        </w:r>
        <w:r w:rsidR="009C60D7">
          <w:rPr>
            <w:noProof/>
            <w:webHidden/>
          </w:rPr>
          <w:fldChar w:fldCharType="begin"/>
        </w:r>
        <w:r w:rsidR="009C60D7">
          <w:rPr>
            <w:noProof/>
            <w:webHidden/>
          </w:rPr>
          <w:instrText xml:space="preserve"> PAGEREF _Toc464129787 \h </w:instrText>
        </w:r>
        <w:r w:rsidR="009C60D7">
          <w:rPr>
            <w:noProof/>
            <w:webHidden/>
          </w:rPr>
        </w:r>
        <w:r w:rsidR="009C60D7">
          <w:rPr>
            <w:noProof/>
            <w:webHidden/>
          </w:rPr>
          <w:fldChar w:fldCharType="separate"/>
        </w:r>
        <w:r w:rsidR="00F51A52">
          <w:rPr>
            <w:noProof/>
            <w:webHidden/>
          </w:rPr>
          <w:t>21</w:t>
        </w:r>
        <w:r w:rsidR="009C60D7">
          <w:rPr>
            <w:noProof/>
            <w:webHidden/>
          </w:rPr>
          <w:fldChar w:fldCharType="end"/>
        </w:r>
      </w:hyperlink>
    </w:p>
    <w:p w14:paraId="5CC60D2E" w14:textId="77777777" w:rsidR="009C60D7" w:rsidRDefault="00AE0960">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64129788" w:history="1">
        <w:r w:rsidR="009C60D7" w:rsidRPr="00972204">
          <w:rPr>
            <w:rStyle w:val="Hyperlink"/>
            <w:noProof/>
            <w:lang w:val="en-GB"/>
          </w:rPr>
          <w:t>4</w:t>
        </w:r>
        <w:r w:rsidR="009C60D7">
          <w:rPr>
            <w:rFonts w:eastAsiaTheme="minorEastAsia" w:cstheme="minorBidi"/>
            <w:b w:val="0"/>
            <w:bCs w:val="0"/>
            <w:caps w:val="0"/>
            <w:noProof/>
            <w:sz w:val="22"/>
            <w:szCs w:val="22"/>
            <w:lang w:val="en-GB" w:eastAsia="en-GB" w:bidi="ar-SA"/>
          </w:rPr>
          <w:tab/>
        </w:r>
        <w:r w:rsidR="009C60D7" w:rsidRPr="00972204">
          <w:rPr>
            <w:rStyle w:val="Hyperlink"/>
            <w:noProof/>
            <w:lang w:val="en-GB"/>
          </w:rPr>
          <w:t>Nutrition Assessment</w:t>
        </w:r>
        <w:r w:rsidR="009C60D7">
          <w:rPr>
            <w:noProof/>
            <w:webHidden/>
          </w:rPr>
          <w:tab/>
        </w:r>
        <w:r w:rsidR="009C60D7">
          <w:rPr>
            <w:noProof/>
            <w:webHidden/>
          </w:rPr>
          <w:fldChar w:fldCharType="begin"/>
        </w:r>
        <w:r w:rsidR="009C60D7">
          <w:rPr>
            <w:noProof/>
            <w:webHidden/>
          </w:rPr>
          <w:instrText xml:space="preserve"> PAGEREF _Toc464129788 \h </w:instrText>
        </w:r>
        <w:r w:rsidR="009C60D7">
          <w:rPr>
            <w:noProof/>
            <w:webHidden/>
          </w:rPr>
        </w:r>
        <w:r w:rsidR="009C60D7">
          <w:rPr>
            <w:noProof/>
            <w:webHidden/>
          </w:rPr>
          <w:fldChar w:fldCharType="separate"/>
        </w:r>
        <w:r w:rsidR="00F51A52">
          <w:rPr>
            <w:noProof/>
            <w:webHidden/>
          </w:rPr>
          <w:t>21</w:t>
        </w:r>
        <w:r w:rsidR="009C60D7">
          <w:rPr>
            <w:noProof/>
            <w:webHidden/>
          </w:rPr>
          <w:fldChar w:fldCharType="end"/>
        </w:r>
      </w:hyperlink>
    </w:p>
    <w:p w14:paraId="34F49107"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89" w:history="1">
        <w:r w:rsidR="009C60D7" w:rsidRPr="00972204">
          <w:rPr>
            <w:rStyle w:val="Hyperlink"/>
            <w:noProof/>
          </w:rPr>
          <w:t>4.1</w:t>
        </w:r>
        <w:r w:rsidR="009C60D7">
          <w:rPr>
            <w:rFonts w:eastAsiaTheme="minorEastAsia" w:cstheme="minorBidi"/>
            <w:smallCaps w:val="0"/>
            <w:noProof/>
            <w:sz w:val="22"/>
            <w:szCs w:val="22"/>
            <w:lang w:val="en-GB" w:eastAsia="en-GB" w:bidi="ar-SA"/>
          </w:rPr>
          <w:tab/>
        </w:r>
        <w:r w:rsidR="009C60D7" w:rsidRPr="00972204">
          <w:rPr>
            <w:rStyle w:val="Hyperlink"/>
            <w:noProof/>
          </w:rPr>
          <w:t>Essential fatty acids</w:t>
        </w:r>
        <w:r w:rsidR="009C60D7">
          <w:rPr>
            <w:noProof/>
            <w:webHidden/>
          </w:rPr>
          <w:tab/>
        </w:r>
        <w:r w:rsidR="009C60D7">
          <w:rPr>
            <w:noProof/>
            <w:webHidden/>
          </w:rPr>
          <w:fldChar w:fldCharType="begin"/>
        </w:r>
        <w:r w:rsidR="009C60D7">
          <w:rPr>
            <w:noProof/>
            <w:webHidden/>
          </w:rPr>
          <w:instrText xml:space="preserve"> PAGEREF _Toc464129789 \h </w:instrText>
        </w:r>
        <w:r w:rsidR="009C60D7">
          <w:rPr>
            <w:noProof/>
            <w:webHidden/>
          </w:rPr>
        </w:r>
        <w:r w:rsidR="009C60D7">
          <w:rPr>
            <w:noProof/>
            <w:webHidden/>
          </w:rPr>
          <w:fldChar w:fldCharType="separate"/>
        </w:r>
        <w:r w:rsidR="00F51A52">
          <w:rPr>
            <w:noProof/>
            <w:webHidden/>
          </w:rPr>
          <w:t>21</w:t>
        </w:r>
        <w:r w:rsidR="009C60D7">
          <w:rPr>
            <w:noProof/>
            <w:webHidden/>
          </w:rPr>
          <w:fldChar w:fldCharType="end"/>
        </w:r>
      </w:hyperlink>
    </w:p>
    <w:p w14:paraId="256C81ED"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90" w:history="1">
        <w:r w:rsidR="009C60D7" w:rsidRPr="00972204">
          <w:rPr>
            <w:rStyle w:val="Hyperlink"/>
            <w:noProof/>
          </w:rPr>
          <w:t>4.2</w:t>
        </w:r>
        <w:r w:rsidR="009C60D7">
          <w:rPr>
            <w:rFonts w:eastAsiaTheme="minorEastAsia" w:cstheme="minorBidi"/>
            <w:smallCaps w:val="0"/>
            <w:noProof/>
            <w:sz w:val="22"/>
            <w:szCs w:val="22"/>
            <w:lang w:val="en-GB" w:eastAsia="en-GB" w:bidi="ar-SA"/>
          </w:rPr>
          <w:tab/>
        </w:r>
        <w:r w:rsidR="009C60D7" w:rsidRPr="00972204">
          <w:rPr>
            <w:rStyle w:val="Hyperlink"/>
            <w:noProof/>
          </w:rPr>
          <w:t>Long chain polyunsaturated fatty acids (LC-PUFA)</w:t>
        </w:r>
        <w:r w:rsidR="009C60D7">
          <w:rPr>
            <w:noProof/>
            <w:webHidden/>
          </w:rPr>
          <w:tab/>
        </w:r>
        <w:r w:rsidR="009C60D7">
          <w:rPr>
            <w:noProof/>
            <w:webHidden/>
          </w:rPr>
          <w:fldChar w:fldCharType="begin"/>
        </w:r>
        <w:r w:rsidR="009C60D7">
          <w:rPr>
            <w:noProof/>
            <w:webHidden/>
          </w:rPr>
          <w:instrText xml:space="preserve"> PAGEREF _Toc464129790 \h </w:instrText>
        </w:r>
        <w:r w:rsidR="009C60D7">
          <w:rPr>
            <w:noProof/>
            <w:webHidden/>
          </w:rPr>
        </w:r>
        <w:r w:rsidR="009C60D7">
          <w:rPr>
            <w:noProof/>
            <w:webHidden/>
          </w:rPr>
          <w:fldChar w:fldCharType="separate"/>
        </w:r>
        <w:r w:rsidR="00F51A52">
          <w:rPr>
            <w:noProof/>
            <w:webHidden/>
          </w:rPr>
          <w:t>22</w:t>
        </w:r>
        <w:r w:rsidR="009C60D7">
          <w:rPr>
            <w:noProof/>
            <w:webHidden/>
          </w:rPr>
          <w:fldChar w:fldCharType="end"/>
        </w:r>
      </w:hyperlink>
    </w:p>
    <w:p w14:paraId="4EC12668"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91" w:history="1">
        <w:r w:rsidR="009C60D7" w:rsidRPr="00972204">
          <w:rPr>
            <w:rStyle w:val="Hyperlink"/>
            <w:noProof/>
          </w:rPr>
          <w:t>4.3</w:t>
        </w:r>
        <w:r w:rsidR="009C60D7">
          <w:rPr>
            <w:rFonts w:eastAsiaTheme="minorEastAsia" w:cstheme="minorBidi"/>
            <w:smallCaps w:val="0"/>
            <w:noProof/>
            <w:sz w:val="22"/>
            <w:szCs w:val="22"/>
            <w:lang w:val="en-GB" w:eastAsia="en-GB" w:bidi="ar-SA"/>
          </w:rPr>
          <w:tab/>
        </w:r>
        <w:r w:rsidR="009C60D7" w:rsidRPr="00972204">
          <w:rPr>
            <w:rStyle w:val="Hyperlink"/>
            <w:noProof/>
          </w:rPr>
          <w:t>Fats and fatty acids in different milk sources</w:t>
        </w:r>
        <w:r w:rsidR="009C60D7">
          <w:rPr>
            <w:noProof/>
            <w:webHidden/>
          </w:rPr>
          <w:tab/>
        </w:r>
        <w:r w:rsidR="009C60D7">
          <w:rPr>
            <w:noProof/>
            <w:webHidden/>
          </w:rPr>
          <w:fldChar w:fldCharType="begin"/>
        </w:r>
        <w:r w:rsidR="009C60D7">
          <w:rPr>
            <w:noProof/>
            <w:webHidden/>
          </w:rPr>
          <w:instrText xml:space="preserve"> PAGEREF _Toc464129791 \h </w:instrText>
        </w:r>
        <w:r w:rsidR="009C60D7">
          <w:rPr>
            <w:noProof/>
            <w:webHidden/>
          </w:rPr>
        </w:r>
        <w:r w:rsidR="009C60D7">
          <w:rPr>
            <w:noProof/>
            <w:webHidden/>
          </w:rPr>
          <w:fldChar w:fldCharType="separate"/>
        </w:r>
        <w:r w:rsidR="00F51A52">
          <w:rPr>
            <w:noProof/>
            <w:webHidden/>
          </w:rPr>
          <w:t>23</w:t>
        </w:r>
        <w:r w:rsidR="009C60D7">
          <w:rPr>
            <w:noProof/>
            <w:webHidden/>
          </w:rPr>
          <w:fldChar w:fldCharType="end"/>
        </w:r>
      </w:hyperlink>
    </w:p>
    <w:p w14:paraId="62EB3E4B"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92" w:history="1">
        <w:r w:rsidR="009C60D7" w:rsidRPr="00972204">
          <w:rPr>
            <w:rStyle w:val="Hyperlink"/>
            <w:noProof/>
          </w:rPr>
          <w:t>4.4</w:t>
        </w:r>
        <w:r w:rsidR="009C60D7">
          <w:rPr>
            <w:rFonts w:eastAsiaTheme="minorEastAsia" w:cstheme="minorBidi"/>
            <w:smallCaps w:val="0"/>
            <w:noProof/>
            <w:sz w:val="22"/>
            <w:szCs w:val="22"/>
            <w:lang w:val="en-GB" w:eastAsia="en-GB" w:bidi="ar-SA"/>
          </w:rPr>
          <w:tab/>
        </w:r>
        <w:r w:rsidR="009C60D7" w:rsidRPr="00972204">
          <w:rPr>
            <w:rStyle w:val="Hyperlink"/>
            <w:noProof/>
          </w:rPr>
          <w:t>Composition of DHA-B</w:t>
        </w:r>
        <w:r w:rsidR="009C60D7" w:rsidRPr="00972204">
          <w:rPr>
            <w:rStyle w:val="Hyperlink"/>
            <w:noProof/>
            <w:vertAlign w:val="superscript"/>
          </w:rPr>
          <w:t xml:space="preserve"> </w:t>
        </w:r>
        <w:r w:rsidR="009C60D7" w:rsidRPr="00972204">
          <w:rPr>
            <w:rStyle w:val="Hyperlink"/>
            <w:noProof/>
          </w:rPr>
          <w:t>compared to other DHA-rich oils</w:t>
        </w:r>
        <w:r w:rsidR="009C60D7">
          <w:rPr>
            <w:noProof/>
            <w:webHidden/>
          </w:rPr>
          <w:tab/>
        </w:r>
        <w:r w:rsidR="009C60D7">
          <w:rPr>
            <w:noProof/>
            <w:webHidden/>
          </w:rPr>
          <w:fldChar w:fldCharType="begin"/>
        </w:r>
        <w:r w:rsidR="009C60D7">
          <w:rPr>
            <w:noProof/>
            <w:webHidden/>
          </w:rPr>
          <w:instrText xml:space="preserve"> PAGEREF _Toc464129792 \h </w:instrText>
        </w:r>
        <w:r w:rsidR="009C60D7">
          <w:rPr>
            <w:noProof/>
            <w:webHidden/>
          </w:rPr>
        </w:r>
        <w:r w:rsidR="009C60D7">
          <w:rPr>
            <w:noProof/>
            <w:webHidden/>
          </w:rPr>
          <w:fldChar w:fldCharType="separate"/>
        </w:r>
        <w:r w:rsidR="00F51A52">
          <w:rPr>
            <w:noProof/>
            <w:webHidden/>
          </w:rPr>
          <w:t>23</w:t>
        </w:r>
        <w:r w:rsidR="009C60D7">
          <w:rPr>
            <w:noProof/>
            <w:webHidden/>
          </w:rPr>
          <w:fldChar w:fldCharType="end"/>
        </w:r>
      </w:hyperlink>
    </w:p>
    <w:p w14:paraId="75C1AD44"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93" w:history="1">
        <w:r w:rsidR="009C60D7" w:rsidRPr="00972204">
          <w:rPr>
            <w:rStyle w:val="Hyperlink"/>
            <w:noProof/>
          </w:rPr>
          <w:t>4.5</w:t>
        </w:r>
        <w:r w:rsidR="009C60D7">
          <w:rPr>
            <w:rFonts w:eastAsiaTheme="minorEastAsia" w:cstheme="minorBidi"/>
            <w:smallCaps w:val="0"/>
            <w:noProof/>
            <w:sz w:val="22"/>
            <w:szCs w:val="22"/>
            <w:lang w:val="en-GB" w:eastAsia="en-GB" w:bidi="ar-SA"/>
          </w:rPr>
          <w:tab/>
        </w:r>
        <w:r w:rsidR="009C60D7" w:rsidRPr="00972204">
          <w:rPr>
            <w:rStyle w:val="Hyperlink"/>
            <w:noProof/>
          </w:rPr>
          <w:t>Nutritional safety, tolerance and efficacy of DHA-B</w:t>
        </w:r>
        <w:r w:rsidR="009C60D7">
          <w:rPr>
            <w:noProof/>
            <w:webHidden/>
          </w:rPr>
          <w:tab/>
        </w:r>
        <w:r w:rsidR="009C60D7">
          <w:rPr>
            <w:noProof/>
            <w:webHidden/>
          </w:rPr>
          <w:fldChar w:fldCharType="begin"/>
        </w:r>
        <w:r w:rsidR="009C60D7">
          <w:rPr>
            <w:noProof/>
            <w:webHidden/>
          </w:rPr>
          <w:instrText xml:space="preserve"> PAGEREF _Toc464129793 \h </w:instrText>
        </w:r>
        <w:r w:rsidR="009C60D7">
          <w:rPr>
            <w:noProof/>
            <w:webHidden/>
          </w:rPr>
        </w:r>
        <w:r w:rsidR="009C60D7">
          <w:rPr>
            <w:noProof/>
            <w:webHidden/>
          </w:rPr>
          <w:fldChar w:fldCharType="separate"/>
        </w:r>
        <w:r w:rsidR="00F51A52">
          <w:rPr>
            <w:noProof/>
            <w:webHidden/>
          </w:rPr>
          <w:t>26</w:t>
        </w:r>
        <w:r w:rsidR="009C60D7">
          <w:rPr>
            <w:noProof/>
            <w:webHidden/>
          </w:rPr>
          <w:fldChar w:fldCharType="end"/>
        </w:r>
      </w:hyperlink>
    </w:p>
    <w:p w14:paraId="22210ABB" w14:textId="77777777" w:rsidR="009C60D7" w:rsidRDefault="00AE0960">
      <w:pPr>
        <w:pStyle w:val="TOC3"/>
        <w:tabs>
          <w:tab w:val="left" w:pos="1100"/>
          <w:tab w:val="right" w:leader="dot" w:pos="9060"/>
        </w:tabs>
        <w:rPr>
          <w:rFonts w:eastAsiaTheme="minorEastAsia" w:cstheme="minorBidi"/>
          <w:i w:val="0"/>
          <w:iCs w:val="0"/>
          <w:noProof/>
          <w:sz w:val="22"/>
          <w:szCs w:val="22"/>
          <w:lang w:val="en-GB" w:eastAsia="en-GB" w:bidi="ar-SA"/>
        </w:rPr>
      </w:pPr>
      <w:hyperlink w:anchor="_Toc464129794" w:history="1">
        <w:r w:rsidR="009C60D7" w:rsidRPr="00972204">
          <w:rPr>
            <w:rStyle w:val="Hyperlink"/>
            <w:noProof/>
            <w:lang w:val="en-GB"/>
          </w:rPr>
          <w:t>4.5.1</w:t>
        </w:r>
        <w:r w:rsidR="009C60D7">
          <w:rPr>
            <w:rFonts w:eastAsiaTheme="minorEastAsia" w:cstheme="minorBidi"/>
            <w:i w:val="0"/>
            <w:iCs w:val="0"/>
            <w:noProof/>
            <w:sz w:val="22"/>
            <w:szCs w:val="22"/>
            <w:lang w:val="en-GB" w:eastAsia="en-GB" w:bidi="ar-SA"/>
          </w:rPr>
          <w:tab/>
        </w:r>
        <w:r w:rsidR="009C60D7" w:rsidRPr="00972204">
          <w:rPr>
            <w:rStyle w:val="Hyperlink"/>
            <w:noProof/>
            <w:lang w:val="en-GB"/>
          </w:rPr>
          <w:t>Specific studies with DHA-B in animals and humans</w:t>
        </w:r>
        <w:r w:rsidR="009C60D7">
          <w:rPr>
            <w:noProof/>
            <w:webHidden/>
          </w:rPr>
          <w:tab/>
        </w:r>
        <w:r w:rsidR="009C60D7">
          <w:rPr>
            <w:noProof/>
            <w:webHidden/>
          </w:rPr>
          <w:fldChar w:fldCharType="begin"/>
        </w:r>
        <w:r w:rsidR="009C60D7">
          <w:rPr>
            <w:noProof/>
            <w:webHidden/>
          </w:rPr>
          <w:instrText xml:space="preserve"> PAGEREF _Toc464129794 \h </w:instrText>
        </w:r>
        <w:r w:rsidR="009C60D7">
          <w:rPr>
            <w:noProof/>
            <w:webHidden/>
          </w:rPr>
        </w:r>
        <w:r w:rsidR="009C60D7">
          <w:rPr>
            <w:noProof/>
            <w:webHidden/>
          </w:rPr>
          <w:fldChar w:fldCharType="separate"/>
        </w:r>
        <w:r w:rsidR="00F51A52">
          <w:rPr>
            <w:noProof/>
            <w:webHidden/>
          </w:rPr>
          <w:t>26</w:t>
        </w:r>
        <w:r w:rsidR="009C60D7">
          <w:rPr>
            <w:noProof/>
            <w:webHidden/>
          </w:rPr>
          <w:fldChar w:fldCharType="end"/>
        </w:r>
      </w:hyperlink>
    </w:p>
    <w:p w14:paraId="68A579AE"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95" w:history="1">
        <w:r w:rsidR="009C60D7" w:rsidRPr="00972204">
          <w:rPr>
            <w:rStyle w:val="Hyperlink"/>
            <w:noProof/>
          </w:rPr>
          <w:t>4.6</w:t>
        </w:r>
        <w:r w:rsidR="009C60D7">
          <w:rPr>
            <w:rFonts w:eastAsiaTheme="minorEastAsia" w:cstheme="minorBidi"/>
            <w:smallCaps w:val="0"/>
            <w:noProof/>
            <w:sz w:val="22"/>
            <w:szCs w:val="22"/>
            <w:lang w:val="en-GB" w:eastAsia="en-GB" w:bidi="ar-SA"/>
          </w:rPr>
          <w:tab/>
        </w:r>
        <w:r w:rsidR="009C60D7" w:rsidRPr="00972204">
          <w:rPr>
            <w:rStyle w:val="Hyperlink"/>
            <w:noProof/>
          </w:rPr>
          <w:t>Dietary Intake</w:t>
        </w:r>
        <w:r w:rsidR="009C60D7">
          <w:rPr>
            <w:noProof/>
            <w:webHidden/>
          </w:rPr>
          <w:tab/>
        </w:r>
        <w:r w:rsidR="009C60D7">
          <w:rPr>
            <w:noProof/>
            <w:webHidden/>
          </w:rPr>
          <w:fldChar w:fldCharType="begin"/>
        </w:r>
        <w:r w:rsidR="009C60D7">
          <w:rPr>
            <w:noProof/>
            <w:webHidden/>
          </w:rPr>
          <w:instrText xml:space="preserve"> PAGEREF _Toc464129795 \h </w:instrText>
        </w:r>
        <w:r w:rsidR="009C60D7">
          <w:rPr>
            <w:noProof/>
            <w:webHidden/>
          </w:rPr>
        </w:r>
        <w:r w:rsidR="009C60D7">
          <w:rPr>
            <w:noProof/>
            <w:webHidden/>
          </w:rPr>
          <w:fldChar w:fldCharType="separate"/>
        </w:r>
        <w:r w:rsidR="00F51A52">
          <w:rPr>
            <w:noProof/>
            <w:webHidden/>
          </w:rPr>
          <w:t>27</w:t>
        </w:r>
        <w:r w:rsidR="009C60D7">
          <w:rPr>
            <w:noProof/>
            <w:webHidden/>
          </w:rPr>
          <w:fldChar w:fldCharType="end"/>
        </w:r>
      </w:hyperlink>
    </w:p>
    <w:p w14:paraId="2F39E892" w14:textId="77777777" w:rsidR="009C60D7" w:rsidRDefault="00AE0960">
      <w:pPr>
        <w:pStyle w:val="TOC2"/>
        <w:tabs>
          <w:tab w:val="left" w:pos="880"/>
          <w:tab w:val="right" w:leader="dot" w:pos="9060"/>
        </w:tabs>
        <w:rPr>
          <w:rFonts w:eastAsiaTheme="minorEastAsia" w:cstheme="minorBidi"/>
          <w:smallCaps w:val="0"/>
          <w:noProof/>
          <w:sz w:val="22"/>
          <w:szCs w:val="22"/>
          <w:lang w:val="en-GB" w:eastAsia="en-GB" w:bidi="ar-SA"/>
        </w:rPr>
      </w:pPr>
      <w:hyperlink w:anchor="_Toc464129796" w:history="1">
        <w:r w:rsidR="009C60D7" w:rsidRPr="00972204">
          <w:rPr>
            <w:rStyle w:val="Hyperlink"/>
            <w:noProof/>
          </w:rPr>
          <w:t>4.7</w:t>
        </w:r>
        <w:r w:rsidR="009C60D7">
          <w:rPr>
            <w:rFonts w:eastAsiaTheme="minorEastAsia" w:cstheme="minorBidi"/>
            <w:smallCaps w:val="0"/>
            <w:noProof/>
            <w:sz w:val="22"/>
            <w:szCs w:val="22"/>
            <w:lang w:val="en-GB" w:eastAsia="en-GB" w:bidi="ar-SA"/>
          </w:rPr>
          <w:tab/>
        </w:r>
        <w:r w:rsidR="009C60D7" w:rsidRPr="00972204">
          <w:rPr>
            <w:rStyle w:val="Hyperlink"/>
            <w:noProof/>
          </w:rPr>
          <w:t>Nutrition assessment conclusion</w:t>
        </w:r>
        <w:r w:rsidR="009C60D7">
          <w:rPr>
            <w:noProof/>
            <w:webHidden/>
          </w:rPr>
          <w:tab/>
        </w:r>
        <w:r w:rsidR="009C60D7">
          <w:rPr>
            <w:noProof/>
            <w:webHidden/>
          </w:rPr>
          <w:fldChar w:fldCharType="begin"/>
        </w:r>
        <w:r w:rsidR="009C60D7">
          <w:rPr>
            <w:noProof/>
            <w:webHidden/>
          </w:rPr>
          <w:instrText xml:space="preserve"> PAGEREF _Toc464129796 \h </w:instrText>
        </w:r>
        <w:r w:rsidR="009C60D7">
          <w:rPr>
            <w:noProof/>
            <w:webHidden/>
          </w:rPr>
        </w:r>
        <w:r w:rsidR="009C60D7">
          <w:rPr>
            <w:noProof/>
            <w:webHidden/>
          </w:rPr>
          <w:fldChar w:fldCharType="separate"/>
        </w:r>
        <w:r w:rsidR="00F51A52">
          <w:rPr>
            <w:noProof/>
            <w:webHidden/>
          </w:rPr>
          <w:t>28</w:t>
        </w:r>
        <w:r w:rsidR="009C60D7">
          <w:rPr>
            <w:noProof/>
            <w:webHidden/>
          </w:rPr>
          <w:fldChar w:fldCharType="end"/>
        </w:r>
      </w:hyperlink>
    </w:p>
    <w:p w14:paraId="5B9BF324" w14:textId="77777777" w:rsidR="009C60D7" w:rsidRDefault="00AE0960">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64129797" w:history="1">
        <w:r w:rsidR="009C60D7" w:rsidRPr="00972204">
          <w:rPr>
            <w:rStyle w:val="Hyperlink"/>
            <w:noProof/>
            <w:lang w:val="en-GB"/>
          </w:rPr>
          <w:t>5</w:t>
        </w:r>
        <w:r w:rsidR="009C60D7">
          <w:rPr>
            <w:rFonts w:eastAsiaTheme="minorEastAsia" w:cstheme="minorBidi"/>
            <w:b w:val="0"/>
            <w:bCs w:val="0"/>
            <w:caps w:val="0"/>
            <w:noProof/>
            <w:sz w:val="22"/>
            <w:szCs w:val="22"/>
            <w:lang w:val="en-GB" w:eastAsia="en-GB" w:bidi="ar-SA"/>
          </w:rPr>
          <w:tab/>
        </w:r>
        <w:r w:rsidR="009C60D7" w:rsidRPr="00972204">
          <w:rPr>
            <w:rStyle w:val="Hyperlink"/>
            <w:noProof/>
            <w:lang w:val="en-GB"/>
          </w:rPr>
          <w:t>Summary</w:t>
        </w:r>
        <w:r w:rsidR="009C60D7">
          <w:rPr>
            <w:noProof/>
            <w:webHidden/>
          </w:rPr>
          <w:tab/>
        </w:r>
        <w:r w:rsidR="009C60D7">
          <w:rPr>
            <w:noProof/>
            <w:webHidden/>
          </w:rPr>
          <w:fldChar w:fldCharType="begin"/>
        </w:r>
        <w:r w:rsidR="009C60D7">
          <w:rPr>
            <w:noProof/>
            <w:webHidden/>
          </w:rPr>
          <w:instrText xml:space="preserve"> PAGEREF _Toc464129797 \h </w:instrText>
        </w:r>
        <w:r w:rsidR="009C60D7">
          <w:rPr>
            <w:noProof/>
            <w:webHidden/>
          </w:rPr>
        </w:r>
        <w:r w:rsidR="009C60D7">
          <w:rPr>
            <w:noProof/>
            <w:webHidden/>
          </w:rPr>
          <w:fldChar w:fldCharType="separate"/>
        </w:r>
        <w:r w:rsidR="00F51A52">
          <w:rPr>
            <w:noProof/>
            <w:webHidden/>
          </w:rPr>
          <w:t>28</w:t>
        </w:r>
        <w:r w:rsidR="009C60D7">
          <w:rPr>
            <w:noProof/>
            <w:webHidden/>
          </w:rPr>
          <w:fldChar w:fldCharType="end"/>
        </w:r>
      </w:hyperlink>
    </w:p>
    <w:p w14:paraId="08CB9E92" w14:textId="77777777" w:rsidR="009C60D7" w:rsidRDefault="00AE0960">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64129798" w:history="1">
        <w:r w:rsidR="009C60D7" w:rsidRPr="00972204">
          <w:rPr>
            <w:rStyle w:val="Hyperlink"/>
            <w:noProof/>
            <w:lang w:val="en-GB"/>
          </w:rPr>
          <w:t>6</w:t>
        </w:r>
        <w:r w:rsidR="009C60D7">
          <w:rPr>
            <w:rFonts w:eastAsiaTheme="minorEastAsia" w:cstheme="minorBidi"/>
            <w:b w:val="0"/>
            <w:bCs w:val="0"/>
            <w:caps w:val="0"/>
            <w:noProof/>
            <w:sz w:val="22"/>
            <w:szCs w:val="22"/>
            <w:lang w:val="en-GB" w:eastAsia="en-GB" w:bidi="ar-SA"/>
          </w:rPr>
          <w:tab/>
        </w:r>
        <w:r w:rsidR="009C60D7" w:rsidRPr="00972204">
          <w:rPr>
            <w:rStyle w:val="Hyperlink"/>
            <w:noProof/>
            <w:lang w:val="en-GB"/>
          </w:rPr>
          <w:t>References</w:t>
        </w:r>
        <w:r w:rsidR="009C60D7">
          <w:rPr>
            <w:noProof/>
            <w:webHidden/>
          </w:rPr>
          <w:tab/>
        </w:r>
        <w:r w:rsidR="009C60D7">
          <w:rPr>
            <w:noProof/>
            <w:webHidden/>
          </w:rPr>
          <w:fldChar w:fldCharType="begin"/>
        </w:r>
        <w:r w:rsidR="009C60D7">
          <w:rPr>
            <w:noProof/>
            <w:webHidden/>
          </w:rPr>
          <w:instrText xml:space="preserve"> PAGEREF _Toc464129798 \h </w:instrText>
        </w:r>
        <w:r w:rsidR="009C60D7">
          <w:rPr>
            <w:noProof/>
            <w:webHidden/>
          </w:rPr>
        </w:r>
        <w:r w:rsidR="009C60D7">
          <w:rPr>
            <w:noProof/>
            <w:webHidden/>
          </w:rPr>
          <w:fldChar w:fldCharType="separate"/>
        </w:r>
        <w:r w:rsidR="00F51A52">
          <w:rPr>
            <w:noProof/>
            <w:webHidden/>
          </w:rPr>
          <w:t>29</w:t>
        </w:r>
        <w:r w:rsidR="009C60D7">
          <w:rPr>
            <w:noProof/>
            <w:webHidden/>
          </w:rPr>
          <w:fldChar w:fldCharType="end"/>
        </w:r>
      </w:hyperlink>
    </w:p>
    <w:p w14:paraId="068F0F80" w14:textId="77777777" w:rsidR="009C60D7" w:rsidRDefault="00AE0960">
      <w:pPr>
        <w:pStyle w:val="TOC2"/>
        <w:tabs>
          <w:tab w:val="right" w:leader="dot" w:pos="9060"/>
        </w:tabs>
        <w:rPr>
          <w:rFonts w:eastAsiaTheme="minorEastAsia" w:cstheme="minorBidi"/>
          <w:smallCaps w:val="0"/>
          <w:noProof/>
          <w:sz w:val="22"/>
          <w:szCs w:val="22"/>
          <w:lang w:val="en-GB" w:eastAsia="en-GB" w:bidi="ar-SA"/>
        </w:rPr>
      </w:pPr>
      <w:hyperlink w:anchor="_Toc464129799" w:history="1">
        <w:r w:rsidR="009C60D7" w:rsidRPr="00972204">
          <w:rPr>
            <w:rStyle w:val="Hyperlink"/>
            <w:noProof/>
          </w:rPr>
          <w:t>Appendix 1</w:t>
        </w:r>
        <w:r w:rsidR="009C60D7">
          <w:rPr>
            <w:noProof/>
            <w:webHidden/>
          </w:rPr>
          <w:tab/>
        </w:r>
        <w:r w:rsidR="009C60D7">
          <w:rPr>
            <w:noProof/>
            <w:webHidden/>
          </w:rPr>
          <w:fldChar w:fldCharType="begin"/>
        </w:r>
        <w:r w:rsidR="009C60D7">
          <w:rPr>
            <w:noProof/>
            <w:webHidden/>
          </w:rPr>
          <w:instrText xml:space="preserve"> PAGEREF _Toc464129799 \h </w:instrText>
        </w:r>
        <w:r w:rsidR="009C60D7">
          <w:rPr>
            <w:noProof/>
            <w:webHidden/>
          </w:rPr>
        </w:r>
        <w:r w:rsidR="009C60D7">
          <w:rPr>
            <w:noProof/>
            <w:webHidden/>
          </w:rPr>
          <w:fldChar w:fldCharType="separate"/>
        </w:r>
        <w:r w:rsidR="00F51A52">
          <w:rPr>
            <w:noProof/>
            <w:webHidden/>
          </w:rPr>
          <w:t>34</w:t>
        </w:r>
        <w:r w:rsidR="009C60D7">
          <w:rPr>
            <w:noProof/>
            <w:webHidden/>
          </w:rPr>
          <w:fldChar w:fldCharType="end"/>
        </w:r>
      </w:hyperlink>
    </w:p>
    <w:p w14:paraId="73693718" w14:textId="46C3F101" w:rsidR="00FD3A50" w:rsidRPr="008E41F7" w:rsidRDefault="00326D85" w:rsidP="00772BDC">
      <w:pPr>
        <w:rPr>
          <w:lang w:val="en-GB"/>
        </w:rPr>
      </w:pPr>
      <w:r w:rsidRPr="008E41F7">
        <w:rPr>
          <w:lang w:val="en-GB"/>
        </w:rPr>
        <w:fldChar w:fldCharType="end"/>
      </w:r>
    </w:p>
    <w:p w14:paraId="1730BA67" w14:textId="24E11030" w:rsidR="00FD3A50" w:rsidRPr="008E41F7" w:rsidRDefault="00FD3A50" w:rsidP="00FD3A50">
      <w:pPr>
        <w:pStyle w:val="Heading1"/>
        <w:rPr>
          <w:lang w:val="en-GB"/>
        </w:rPr>
      </w:pPr>
      <w:bookmarkStart w:id="5" w:name="_Toc464129756"/>
      <w:r w:rsidRPr="008E41F7">
        <w:rPr>
          <w:lang w:val="en-GB"/>
        </w:rPr>
        <w:lastRenderedPageBreak/>
        <w:t>Abbreviations</w:t>
      </w:r>
      <w:bookmarkEnd w:id="5"/>
      <w:r w:rsidRPr="008E41F7">
        <w:rPr>
          <w:lang w:val="en-GB"/>
        </w:rPr>
        <w:t xml:space="preserve"> </w:t>
      </w:r>
    </w:p>
    <w:tbl>
      <w:tblPr>
        <w:tblStyle w:val="TableGrid"/>
        <w:tblW w:w="0" w:type="auto"/>
        <w:tblLook w:val="04A0" w:firstRow="1" w:lastRow="0" w:firstColumn="1" w:lastColumn="0" w:noHBand="0" w:noVBand="1"/>
        <w:tblCaption w:val="Abbreviations "/>
        <w:tblDescription w:val="This includes a list of common abbreviations used in this report"/>
      </w:tblPr>
      <w:tblGrid>
        <w:gridCol w:w="2093"/>
        <w:gridCol w:w="7193"/>
      </w:tblGrid>
      <w:tr w:rsidR="00891F8B" w:rsidRPr="00DE5269" w14:paraId="659D22AA" w14:textId="77777777" w:rsidTr="0094412C">
        <w:trPr>
          <w:cantSplit/>
          <w:trHeight w:val="284"/>
          <w:tblHeader/>
        </w:trPr>
        <w:tc>
          <w:tcPr>
            <w:tcW w:w="2093" w:type="dxa"/>
            <w:shd w:val="clear" w:color="auto" w:fill="C6D9F1" w:themeFill="text2" w:themeFillTint="33"/>
          </w:tcPr>
          <w:p w14:paraId="55E80746" w14:textId="5550BFF0" w:rsidR="00891F8B" w:rsidRPr="00622335" w:rsidRDefault="00891F8B" w:rsidP="00891F8B">
            <w:pPr>
              <w:pStyle w:val="FSTableTitle"/>
              <w:rPr>
                <w:lang w:val="en-GB"/>
              </w:rPr>
            </w:pPr>
            <w:r w:rsidRPr="00622335">
              <w:rPr>
                <w:lang w:val="en-GB"/>
              </w:rPr>
              <w:t xml:space="preserve">Abbreviation </w:t>
            </w:r>
          </w:p>
        </w:tc>
        <w:tc>
          <w:tcPr>
            <w:tcW w:w="7193" w:type="dxa"/>
            <w:shd w:val="clear" w:color="auto" w:fill="C6D9F1" w:themeFill="text2" w:themeFillTint="33"/>
          </w:tcPr>
          <w:p w14:paraId="416BF4DA" w14:textId="309148CB" w:rsidR="00891F8B" w:rsidRPr="00622335" w:rsidRDefault="00891F8B" w:rsidP="00891F8B">
            <w:pPr>
              <w:pStyle w:val="FSTableTitle"/>
              <w:rPr>
                <w:lang w:val="en-GB"/>
              </w:rPr>
            </w:pPr>
            <w:r w:rsidRPr="00622335">
              <w:rPr>
                <w:lang w:val="en-GB"/>
              </w:rPr>
              <w:t xml:space="preserve">Explanation </w:t>
            </w:r>
          </w:p>
        </w:tc>
      </w:tr>
      <w:tr w:rsidR="00231240" w:rsidRPr="00DE5269" w14:paraId="6E34893A" w14:textId="77777777" w:rsidTr="00FD3A50">
        <w:tc>
          <w:tcPr>
            <w:tcW w:w="2093" w:type="dxa"/>
          </w:tcPr>
          <w:p w14:paraId="2187F105" w14:textId="71F1A455" w:rsidR="00231240" w:rsidRPr="00622335" w:rsidRDefault="00231240" w:rsidP="00DA54B5">
            <w:pPr>
              <w:rPr>
                <w:lang w:val="en-GB"/>
              </w:rPr>
            </w:pPr>
            <w:r w:rsidRPr="00622335">
              <w:rPr>
                <w:lang w:val="en-GB"/>
              </w:rPr>
              <w:t>AI</w:t>
            </w:r>
          </w:p>
        </w:tc>
        <w:tc>
          <w:tcPr>
            <w:tcW w:w="7193" w:type="dxa"/>
          </w:tcPr>
          <w:p w14:paraId="77360396" w14:textId="56756D5E" w:rsidR="00231240" w:rsidRPr="00622335" w:rsidRDefault="00231240" w:rsidP="00DA54B5">
            <w:pPr>
              <w:rPr>
                <w:lang w:val="en-GB"/>
              </w:rPr>
            </w:pPr>
            <w:r w:rsidRPr="00622335">
              <w:rPr>
                <w:lang w:val="en-GB"/>
              </w:rPr>
              <w:t>Adequate Intake</w:t>
            </w:r>
          </w:p>
        </w:tc>
      </w:tr>
      <w:tr w:rsidR="00FD3A50" w:rsidRPr="00DE5269" w14:paraId="24B5973F" w14:textId="77777777" w:rsidTr="00FD3A50">
        <w:tc>
          <w:tcPr>
            <w:tcW w:w="2093" w:type="dxa"/>
          </w:tcPr>
          <w:p w14:paraId="1F84DE68" w14:textId="587B5A5B" w:rsidR="00FD3A50" w:rsidRPr="00622335" w:rsidRDefault="00FD3A50" w:rsidP="00DA54B5">
            <w:pPr>
              <w:rPr>
                <w:lang w:val="en-GB"/>
              </w:rPr>
            </w:pPr>
            <w:r w:rsidRPr="00622335">
              <w:rPr>
                <w:lang w:val="en-GB"/>
              </w:rPr>
              <w:t>ALA</w:t>
            </w:r>
          </w:p>
        </w:tc>
        <w:tc>
          <w:tcPr>
            <w:tcW w:w="7193" w:type="dxa"/>
          </w:tcPr>
          <w:p w14:paraId="47550BE1" w14:textId="12A11425" w:rsidR="00FD3A50" w:rsidRPr="00622335" w:rsidRDefault="00E452E9" w:rsidP="00DA54B5">
            <w:pPr>
              <w:rPr>
                <w:lang w:val="en-GB"/>
              </w:rPr>
            </w:pPr>
            <w:r w:rsidRPr="00622335">
              <w:rPr>
                <w:lang w:val="en-GB" w:eastAsia="en-AU"/>
              </w:rPr>
              <w:t xml:space="preserve">α-linolenic acid or Alpha-linolenic acid </w:t>
            </w:r>
          </w:p>
        </w:tc>
      </w:tr>
      <w:tr w:rsidR="00FD3A50" w:rsidRPr="00DE5269" w14:paraId="3025C35E" w14:textId="77777777" w:rsidTr="00FD3A50">
        <w:tc>
          <w:tcPr>
            <w:tcW w:w="2093" w:type="dxa"/>
          </w:tcPr>
          <w:p w14:paraId="4D072558" w14:textId="0619D71C" w:rsidR="00FD3A50" w:rsidRPr="00622335" w:rsidRDefault="00FD3A50" w:rsidP="00DA54B5">
            <w:pPr>
              <w:rPr>
                <w:lang w:val="en-GB"/>
              </w:rPr>
            </w:pPr>
            <w:r w:rsidRPr="00622335">
              <w:rPr>
                <w:lang w:val="en-GB"/>
              </w:rPr>
              <w:t>AOCS</w:t>
            </w:r>
          </w:p>
        </w:tc>
        <w:tc>
          <w:tcPr>
            <w:tcW w:w="7193" w:type="dxa"/>
          </w:tcPr>
          <w:p w14:paraId="2630908A" w14:textId="66DD030F" w:rsidR="00FD3A50" w:rsidRPr="00622335" w:rsidRDefault="00E452E9" w:rsidP="00DA54B5">
            <w:pPr>
              <w:rPr>
                <w:lang w:val="en-GB"/>
              </w:rPr>
            </w:pPr>
            <w:r w:rsidRPr="00622335">
              <w:rPr>
                <w:lang w:val="en-GB"/>
              </w:rPr>
              <w:t xml:space="preserve">American Oil Chemists’ Society </w:t>
            </w:r>
          </w:p>
        </w:tc>
      </w:tr>
      <w:tr w:rsidR="00FD3A50" w:rsidRPr="00DE5269" w14:paraId="7AE5D3B3" w14:textId="77777777" w:rsidTr="00FD3A50">
        <w:tc>
          <w:tcPr>
            <w:tcW w:w="2093" w:type="dxa"/>
          </w:tcPr>
          <w:p w14:paraId="33C4C0B2" w14:textId="77777777" w:rsidR="00FD3A50" w:rsidRPr="00622335" w:rsidRDefault="00FD3A50" w:rsidP="00DA54B5">
            <w:pPr>
              <w:rPr>
                <w:lang w:val="en-GB"/>
              </w:rPr>
            </w:pPr>
            <w:r w:rsidRPr="00622335">
              <w:rPr>
                <w:lang w:val="en-GB"/>
              </w:rPr>
              <w:t>AP</w:t>
            </w:r>
          </w:p>
        </w:tc>
        <w:tc>
          <w:tcPr>
            <w:tcW w:w="7193" w:type="dxa"/>
          </w:tcPr>
          <w:p w14:paraId="1E213473" w14:textId="77777777" w:rsidR="00FD3A50" w:rsidRPr="00622335" w:rsidRDefault="00FD3A50" w:rsidP="00DA54B5">
            <w:pPr>
              <w:rPr>
                <w:lang w:val="en-GB"/>
              </w:rPr>
            </w:pPr>
            <w:r w:rsidRPr="00622335">
              <w:rPr>
                <w:lang w:val="en-GB"/>
              </w:rPr>
              <w:t>Alkaline phosphatase</w:t>
            </w:r>
          </w:p>
        </w:tc>
      </w:tr>
      <w:tr w:rsidR="00FD3A50" w:rsidRPr="00DE5269" w14:paraId="08120517" w14:textId="77777777" w:rsidTr="00FD3A50">
        <w:tc>
          <w:tcPr>
            <w:tcW w:w="2093" w:type="dxa"/>
          </w:tcPr>
          <w:p w14:paraId="5DF77582" w14:textId="77777777" w:rsidR="00FD3A50" w:rsidRPr="00622335" w:rsidRDefault="00FD3A50" w:rsidP="00DA54B5">
            <w:pPr>
              <w:rPr>
                <w:lang w:val="en-GB"/>
              </w:rPr>
            </w:pPr>
            <w:r w:rsidRPr="00622335">
              <w:rPr>
                <w:lang w:val="en-GB"/>
              </w:rPr>
              <w:t>ATCC</w:t>
            </w:r>
          </w:p>
        </w:tc>
        <w:tc>
          <w:tcPr>
            <w:tcW w:w="7193" w:type="dxa"/>
          </w:tcPr>
          <w:p w14:paraId="7963E340" w14:textId="77777777" w:rsidR="00FD3A50" w:rsidRPr="00622335" w:rsidRDefault="00FD3A50" w:rsidP="00DA54B5">
            <w:pPr>
              <w:rPr>
                <w:lang w:val="en-GB"/>
              </w:rPr>
            </w:pPr>
            <w:r w:rsidRPr="00622335">
              <w:rPr>
                <w:lang w:val="en-GB"/>
              </w:rPr>
              <w:t>American Type Culture Collection</w:t>
            </w:r>
          </w:p>
        </w:tc>
      </w:tr>
      <w:tr w:rsidR="00FD3A50" w:rsidRPr="00DE5269" w14:paraId="2D723EAF" w14:textId="77777777" w:rsidTr="00FD3A50">
        <w:tc>
          <w:tcPr>
            <w:tcW w:w="2093" w:type="dxa"/>
          </w:tcPr>
          <w:p w14:paraId="34DD955D" w14:textId="0F4644A1" w:rsidR="00FD3A50" w:rsidRPr="00622335" w:rsidRDefault="00FD3A50" w:rsidP="00DA54B5">
            <w:pPr>
              <w:rPr>
                <w:lang w:val="en-GB"/>
              </w:rPr>
            </w:pPr>
            <w:r w:rsidRPr="00622335">
              <w:rPr>
                <w:lang w:val="en-GB"/>
              </w:rPr>
              <w:t>ARA</w:t>
            </w:r>
          </w:p>
        </w:tc>
        <w:tc>
          <w:tcPr>
            <w:tcW w:w="7193" w:type="dxa"/>
          </w:tcPr>
          <w:p w14:paraId="33B7CE4D" w14:textId="292FCC35" w:rsidR="00FD3A50" w:rsidRPr="00622335" w:rsidRDefault="00FD3A50" w:rsidP="00DA54B5">
            <w:pPr>
              <w:rPr>
                <w:lang w:val="en-GB"/>
              </w:rPr>
            </w:pPr>
            <w:r w:rsidRPr="00622335">
              <w:rPr>
                <w:lang w:val="en-GB"/>
              </w:rPr>
              <w:t>Arachidonic acid</w:t>
            </w:r>
          </w:p>
        </w:tc>
      </w:tr>
      <w:tr w:rsidR="00FD3A50" w:rsidRPr="00DE5269" w14:paraId="00AEE080" w14:textId="77777777" w:rsidTr="00FD3A50">
        <w:tc>
          <w:tcPr>
            <w:tcW w:w="2093" w:type="dxa"/>
          </w:tcPr>
          <w:p w14:paraId="0B436415" w14:textId="285DF496" w:rsidR="00FD3A50" w:rsidRPr="00622335" w:rsidRDefault="00FD3A50" w:rsidP="00DA54B5">
            <w:pPr>
              <w:rPr>
                <w:lang w:val="en-GB"/>
              </w:rPr>
            </w:pPr>
            <w:r w:rsidRPr="00622335">
              <w:rPr>
                <w:lang w:val="en-GB"/>
              </w:rPr>
              <w:t>ARASCO</w:t>
            </w:r>
          </w:p>
        </w:tc>
        <w:tc>
          <w:tcPr>
            <w:tcW w:w="7193" w:type="dxa"/>
          </w:tcPr>
          <w:p w14:paraId="336339D8" w14:textId="6F0209AA" w:rsidR="00FD3A50" w:rsidRPr="00622335" w:rsidRDefault="00F77724" w:rsidP="00DA54B5">
            <w:pPr>
              <w:rPr>
                <w:lang w:val="en-GB"/>
              </w:rPr>
            </w:pPr>
            <w:r w:rsidRPr="00622335">
              <w:rPr>
                <w:lang w:val="en-GB"/>
              </w:rPr>
              <w:t xml:space="preserve">Arachidonic acid single cell oil </w:t>
            </w:r>
          </w:p>
        </w:tc>
      </w:tr>
      <w:tr w:rsidR="00FD3A50" w:rsidRPr="00DE5269" w14:paraId="136CD267" w14:textId="77777777" w:rsidTr="00FD3A50">
        <w:tc>
          <w:tcPr>
            <w:tcW w:w="2093" w:type="dxa"/>
          </w:tcPr>
          <w:p w14:paraId="32C802BC" w14:textId="77777777" w:rsidR="00FD3A50" w:rsidRPr="00622335" w:rsidRDefault="00FD3A50" w:rsidP="00DA54B5">
            <w:pPr>
              <w:rPr>
                <w:lang w:val="en-GB"/>
              </w:rPr>
            </w:pPr>
            <w:r w:rsidRPr="00622335">
              <w:rPr>
                <w:lang w:val="en-GB"/>
              </w:rPr>
              <w:t>CAERS</w:t>
            </w:r>
          </w:p>
        </w:tc>
        <w:tc>
          <w:tcPr>
            <w:tcW w:w="7193" w:type="dxa"/>
          </w:tcPr>
          <w:p w14:paraId="3E1DAC6E" w14:textId="77777777" w:rsidR="00FD3A50" w:rsidRPr="00622335" w:rsidRDefault="00FD3A50" w:rsidP="00DA54B5">
            <w:pPr>
              <w:rPr>
                <w:lang w:val="en-GB"/>
              </w:rPr>
            </w:pPr>
            <w:r w:rsidRPr="00622335">
              <w:rPr>
                <w:lang w:val="en-GB"/>
              </w:rPr>
              <w:t>CFSAN Adverse Event Reporting System</w:t>
            </w:r>
          </w:p>
        </w:tc>
      </w:tr>
      <w:tr w:rsidR="00FD3A50" w:rsidRPr="00DE5269" w14:paraId="5D8EFE3A" w14:textId="77777777" w:rsidTr="00FD3A50">
        <w:tc>
          <w:tcPr>
            <w:tcW w:w="2093" w:type="dxa"/>
          </w:tcPr>
          <w:p w14:paraId="50D0761C" w14:textId="77777777" w:rsidR="00FD3A50" w:rsidRPr="00622335" w:rsidRDefault="00FD3A50" w:rsidP="00DA54B5">
            <w:pPr>
              <w:rPr>
                <w:lang w:val="en-GB"/>
              </w:rPr>
            </w:pPr>
            <w:r w:rsidRPr="00622335">
              <w:rPr>
                <w:lang w:val="en-GB"/>
              </w:rPr>
              <w:t>CAS</w:t>
            </w:r>
          </w:p>
        </w:tc>
        <w:tc>
          <w:tcPr>
            <w:tcW w:w="7193" w:type="dxa"/>
          </w:tcPr>
          <w:p w14:paraId="684FEEF4" w14:textId="5E3688DC" w:rsidR="00FD3A50" w:rsidRPr="00622335" w:rsidRDefault="00E452E9" w:rsidP="00DA54B5">
            <w:pPr>
              <w:rPr>
                <w:lang w:val="en-GB"/>
              </w:rPr>
            </w:pPr>
            <w:r w:rsidRPr="00622335">
              <w:rPr>
                <w:lang w:val="en-GB"/>
              </w:rPr>
              <w:t xml:space="preserve">Chemical Abstracts Service </w:t>
            </w:r>
          </w:p>
        </w:tc>
      </w:tr>
      <w:tr w:rsidR="00FD3A50" w:rsidRPr="00DE5269" w14:paraId="683FE193" w14:textId="77777777" w:rsidTr="00FD3A50">
        <w:tc>
          <w:tcPr>
            <w:tcW w:w="2093" w:type="dxa"/>
          </w:tcPr>
          <w:p w14:paraId="1A990D9C" w14:textId="77777777" w:rsidR="00FD3A50" w:rsidRPr="00622335" w:rsidRDefault="00FD3A50" w:rsidP="00DA54B5">
            <w:pPr>
              <w:rPr>
                <w:lang w:val="en-GB"/>
              </w:rPr>
            </w:pPr>
            <w:r w:rsidRPr="00622335">
              <w:rPr>
                <w:lang w:val="en-GB"/>
              </w:rPr>
              <w:t>CFSAN</w:t>
            </w:r>
          </w:p>
        </w:tc>
        <w:tc>
          <w:tcPr>
            <w:tcW w:w="7193" w:type="dxa"/>
          </w:tcPr>
          <w:p w14:paraId="7CABDCBB" w14:textId="361ADA2C" w:rsidR="00FD3A50" w:rsidRPr="00622335" w:rsidRDefault="0091178D" w:rsidP="00DA54B5">
            <w:pPr>
              <w:rPr>
                <w:lang w:val="en-GB"/>
              </w:rPr>
            </w:pPr>
            <w:r w:rsidRPr="00622335">
              <w:rPr>
                <w:lang w:val="en-GB"/>
              </w:rPr>
              <w:t>Center for Food Safety and Applied Nutrition - FDA</w:t>
            </w:r>
          </w:p>
        </w:tc>
      </w:tr>
      <w:tr w:rsidR="00FD3A50" w:rsidRPr="00DE5269" w14:paraId="4ACFEDDD" w14:textId="77777777" w:rsidTr="00FD3A50">
        <w:tc>
          <w:tcPr>
            <w:tcW w:w="2093" w:type="dxa"/>
          </w:tcPr>
          <w:p w14:paraId="515D54DE" w14:textId="77777777" w:rsidR="00FD3A50" w:rsidRPr="00622335" w:rsidRDefault="00FD3A50" w:rsidP="00DA54B5">
            <w:pPr>
              <w:rPr>
                <w:lang w:val="en-GB"/>
              </w:rPr>
            </w:pPr>
            <w:r w:rsidRPr="00622335">
              <w:rPr>
                <w:lang w:val="en-GB"/>
              </w:rPr>
              <w:t>DHA</w:t>
            </w:r>
          </w:p>
        </w:tc>
        <w:tc>
          <w:tcPr>
            <w:tcW w:w="7193" w:type="dxa"/>
          </w:tcPr>
          <w:p w14:paraId="048DB11A" w14:textId="77777777" w:rsidR="00FD3A50" w:rsidRPr="00622335" w:rsidRDefault="00FD3A50" w:rsidP="00DA54B5">
            <w:pPr>
              <w:rPr>
                <w:lang w:val="en-GB"/>
              </w:rPr>
            </w:pPr>
            <w:r w:rsidRPr="00622335">
              <w:rPr>
                <w:lang w:val="en-GB"/>
              </w:rPr>
              <w:t>Docosahexaenoic acid</w:t>
            </w:r>
          </w:p>
        </w:tc>
      </w:tr>
      <w:tr w:rsidR="00FD3A50" w:rsidRPr="00DE5269" w14:paraId="5F23CCAA" w14:textId="77777777" w:rsidTr="00FD3A50">
        <w:tc>
          <w:tcPr>
            <w:tcW w:w="2093" w:type="dxa"/>
          </w:tcPr>
          <w:p w14:paraId="6BAA257B" w14:textId="77777777" w:rsidR="00FD3A50" w:rsidRPr="00622335" w:rsidRDefault="00FD3A50" w:rsidP="00DA54B5">
            <w:pPr>
              <w:rPr>
                <w:lang w:val="en-GB"/>
              </w:rPr>
            </w:pPr>
            <w:r w:rsidRPr="00622335">
              <w:rPr>
                <w:lang w:val="en-GB"/>
              </w:rPr>
              <w:t>DHASCO</w:t>
            </w:r>
          </w:p>
        </w:tc>
        <w:tc>
          <w:tcPr>
            <w:tcW w:w="7193" w:type="dxa"/>
          </w:tcPr>
          <w:p w14:paraId="796CD492" w14:textId="65237851" w:rsidR="00FD3A50" w:rsidRPr="00622335" w:rsidRDefault="00F77724" w:rsidP="00DA54B5">
            <w:pPr>
              <w:rPr>
                <w:lang w:val="en-GB"/>
              </w:rPr>
            </w:pPr>
            <w:r w:rsidRPr="00622335">
              <w:rPr>
                <w:lang w:val="en-GB"/>
              </w:rPr>
              <w:t xml:space="preserve">Docosahexaenoic acid single cell oil </w:t>
            </w:r>
          </w:p>
        </w:tc>
      </w:tr>
      <w:tr w:rsidR="00FD3A50" w:rsidRPr="00DE5269" w14:paraId="2C7BE5D8" w14:textId="77777777" w:rsidTr="00FD3A50">
        <w:tc>
          <w:tcPr>
            <w:tcW w:w="2093" w:type="dxa"/>
          </w:tcPr>
          <w:p w14:paraId="59DC874D" w14:textId="77777777" w:rsidR="00FD3A50" w:rsidRPr="00622335" w:rsidRDefault="00FD3A50" w:rsidP="00DA54B5">
            <w:pPr>
              <w:rPr>
                <w:lang w:val="en-GB"/>
              </w:rPr>
            </w:pPr>
            <w:r w:rsidRPr="00622335">
              <w:rPr>
                <w:lang w:val="en-GB"/>
              </w:rPr>
              <w:t>DMSO</w:t>
            </w:r>
          </w:p>
        </w:tc>
        <w:tc>
          <w:tcPr>
            <w:tcW w:w="7193" w:type="dxa"/>
          </w:tcPr>
          <w:p w14:paraId="7C3F891C" w14:textId="5A3183BC" w:rsidR="00FD3A50" w:rsidRPr="00622335" w:rsidRDefault="0091178D" w:rsidP="00DA54B5">
            <w:pPr>
              <w:rPr>
                <w:lang w:val="en-GB"/>
              </w:rPr>
            </w:pPr>
            <w:r w:rsidRPr="00622335">
              <w:rPr>
                <w:lang w:val="en-GB"/>
              </w:rPr>
              <w:t>Dimethyl sulfoxide</w:t>
            </w:r>
          </w:p>
        </w:tc>
      </w:tr>
      <w:tr w:rsidR="00FD3A50" w:rsidRPr="00DE5269" w14:paraId="5C812AEB" w14:textId="77777777" w:rsidTr="00FD3A50">
        <w:tc>
          <w:tcPr>
            <w:tcW w:w="2093" w:type="dxa"/>
          </w:tcPr>
          <w:p w14:paraId="282D4DE3" w14:textId="77777777" w:rsidR="00FD3A50" w:rsidRPr="00622335" w:rsidRDefault="00FD3A50" w:rsidP="00DA54B5">
            <w:pPr>
              <w:rPr>
                <w:lang w:val="en-GB"/>
              </w:rPr>
            </w:pPr>
            <w:r w:rsidRPr="00622335">
              <w:rPr>
                <w:lang w:val="en-GB"/>
              </w:rPr>
              <w:t>DPA</w:t>
            </w:r>
          </w:p>
        </w:tc>
        <w:tc>
          <w:tcPr>
            <w:tcW w:w="7193" w:type="dxa"/>
          </w:tcPr>
          <w:p w14:paraId="6D11BCB4" w14:textId="18FF5759" w:rsidR="00FD3A50" w:rsidRPr="00622335" w:rsidRDefault="00CE7FB6" w:rsidP="00DA54B5">
            <w:pPr>
              <w:rPr>
                <w:lang w:val="en-GB"/>
              </w:rPr>
            </w:pPr>
            <w:r w:rsidRPr="00622335">
              <w:rPr>
                <w:lang w:val="en-GB" w:bidi="ar-SA"/>
              </w:rPr>
              <w:t>Docosapentaenoic acid</w:t>
            </w:r>
          </w:p>
        </w:tc>
      </w:tr>
      <w:tr w:rsidR="00FD3A50" w:rsidRPr="00DE5269" w14:paraId="12CAA9C6" w14:textId="77777777" w:rsidTr="00FD3A50">
        <w:tc>
          <w:tcPr>
            <w:tcW w:w="2093" w:type="dxa"/>
          </w:tcPr>
          <w:p w14:paraId="337F18B5" w14:textId="77777777" w:rsidR="00FD3A50" w:rsidRPr="00622335" w:rsidRDefault="00FD3A50" w:rsidP="00DA54B5">
            <w:pPr>
              <w:rPr>
                <w:lang w:val="en-GB"/>
              </w:rPr>
            </w:pPr>
            <w:r w:rsidRPr="00622335">
              <w:rPr>
                <w:lang w:val="en-GB"/>
              </w:rPr>
              <w:t>DRM</w:t>
            </w:r>
          </w:p>
        </w:tc>
        <w:tc>
          <w:tcPr>
            <w:tcW w:w="7193" w:type="dxa"/>
          </w:tcPr>
          <w:p w14:paraId="2DE3AF59" w14:textId="77777777" w:rsidR="00FD3A50" w:rsidRPr="00622335" w:rsidRDefault="00FD3A50" w:rsidP="0045057C">
            <w:pPr>
              <w:rPr>
                <w:lang w:val="en-GB"/>
              </w:rPr>
            </w:pPr>
            <w:r w:rsidRPr="00622335">
              <w:rPr>
                <w:lang w:val="en-GB"/>
              </w:rPr>
              <w:t>DHA-rich dried microalgae</w:t>
            </w:r>
          </w:p>
        </w:tc>
      </w:tr>
      <w:tr w:rsidR="00FD3A50" w:rsidRPr="00DE5269" w14:paraId="3995632F" w14:textId="77777777" w:rsidTr="00FD3A50">
        <w:tc>
          <w:tcPr>
            <w:tcW w:w="2093" w:type="dxa"/>
          </w:tcPr>
          <w:p w14:paraId="60E72787" w14:textId="77777777" w:rsidR="00FD3A50" w:rsidRPr="00622335" w:rsidRDefault="00FD3A50" w:rsidP="00DA54B5">
            <w:pPr>
              <w:rPr>
                <w:lang w:val="en-GB"/>
              </w:rPr>
            </w:pPr>
            <w:r w:rsidRPr="00622335">
              <w:rPr>
                <w:lang w:val="en-GB"/>
              </w:rPr>
              <w:t>EAR</w:t>
            </w:r>
          </w:p>
        </w:tc>
        <w:tc>
          <w:tcPr>
            <w:tcW w:w="7193" w:type="dxa"/>
          </w:tcPr>
          <w:p w14:paraId="1EE45B75" w14:textId="77777777" w:rsidR="00FD3A50" w:rsidRPr="00622335" w:rsidRDefault="00FD3A50" w:rsidP="00DA54B5">
            <w:pPr>
              <w:rPr>
                <w:lang w:val="en-GB"/>
              </w:rPr>
            </w:pPr>
            <w:r w:rsidRPr="00622335">
              <w:rPr>
                <w:lang w:val="en-GB"/>
              </w:rPr>
              <w:t>Estimated Average Requirement</w:t>
            </w:r>
          </w:p>
        </w:tc>
      </w:tr>
      <w:tr w:rsidR="00FD3A50" w:rsidRPr="00DE5269" w14:paraId="52D5FBFF" w14:textId="77777777" w:rsidTr="00FD3A50">
        <w:tc>
          <w:tcPr>
            <w:tcW w:w="2093" w:type="dxa"/>
          </w:tcPr>
          <w:p w14:paraId="330AC716" w14:textId="77777777" w:rsidR="00FD3A50" w:rsidRPr="00622335" w:rsidRDefault="00FD3A50" w:rsidP="00DA54B5">
            <w:pPr>
              <w:rPr>
                <w:lang w:val="en-GB"/>
              </w:rPr>
            </w:pPr>
            <w:r w:rsidRPr="00622335">
              <w:rPr>
                <w:lang w:val="en-GB"/>
              </w:rPr>
              <w:t>EFSA</w:t>
            </w:r>
          </w:p>
        </w:tc>
        <w:tc>
          <w:tcPr>
            <w:tcW w:w="7193" w:type="dxa"/>
          </w:tcPr>
          <w:p w14:paraId="3F8455A2" w14:textId="54E887C1" w:rsidR="00FD3A50" w:rsidRPr="00622335" w:rsidRDefault="00E452E9" w:rsidP="00DA54B5">
            <w:pPr>
              <w:rPr>
                <w:lang w:val="en-GB"/>
              </w:rPr>
            </w:pPr>
            <w:r w:rsidRPr="00622335">
              <w:rPr>
                <w:lang w:val="en-GB"/>
              </w:rPr>
              <w:t xml:space="preserve">European Food Safety Authority </w:t>
            </w:r>
          </w:p>
        </w:tc>
      </w:tr>
      <w:tr w:rsidR="00FD3A50" w:rsidRPr="00DE5269" w14:paraId="0A314700" w14:textId="77777777" w:rsidTr="00FD3A50">
        <w:tc>
          <w:tcPr>
            <w:tcW w:w="2093" w:type="dxa"/>
          </w:tcPr>
          <w:p w14:paraId="0A9CD708" w14:textId="77777777" w:rsidR="00FD3A50" w:rsidRPr="00622335" w:rsidRDefault="00FD3A50" w:rsidP="00DA54B5">
            <w:pPr>
              <w:rPr>
                <w:lang w:val="en-GB"/>
              </w:rPr>
            </w:pPr>
            <w:r w:rsidRPr="00622335">
              <w:rPr>
                <w:lang w:val="en-GB"/>
              </w:rPr>
              <w:t>EPA</w:t>
            </w:r>
          </w:p>
        </w:tc>
        <w:tc>
          <w:tcPr>
            <w:tcW w:w="7193" w:type="dxa"/>
          </w:tcPr>
          <w:p w14:paraId="3DF20EDF" w14:textId="77777777" w:rsidR="00FD3A50" w:rsidRPr="00622335" w:rsidRDefault="00FD3A50" w:rsidP="00DA54B5">
            <w:pPr>
              <w:rPr>
                <w:lang w:val="en-GB"/>
              </w:rPr>
            </w:pPr>
            <w:r w:rsidRPr="00622335">
              <w:rPr>
                <w:lang w:val="en-GB"/>
              </w:rPr>
              <w:t>Eicosapentaenoic acid</w:t>
            </w:r>
          </w:p>
        </w:tc>
      </w:tr>
      <w:tr w:rsidR="00FD3A50" w:rsidRPr="00DE5269" w14:paraId="7FDE7E82" w14:textId="77777777" w:rsidTr="00FD3A50">
        <w:tc>
          <w:tcPr>
            <w:tcW w:w="2093" w:type="dxa"/>
          </w:tcPr>
          <w:p w14:paraId="176759A0" w14:textId="77777777" w:rsidR="00FD3A50" w:rsidRPr="00622335" w:rsidRDefault="00FD3A50" w:rsidP="00DA54B5">
            <w:pPr>
              <w:rPr>
                <w:lang w:val="en-GB"/>
              </w:rPr>
            </w:pPr>
            <w:r w:rsidRPr="00622335">
              <w:rPr>
                <w:lang w:val="en-GB"/>
              </w:rPr>
              <w:t>FOB</w:t>
            </w:r>
          </w:p>
        </w:tc>
        <w:tc>
          <w:tcPr>
            <w:tcW w:w="7193" w:type="dxa"/>
          </w:tcPr>
          <w:p w14:paraId="72E615C8" w14:textId="414020FE" w:rsidR="00FD3A50" w:rsidRPr="00622335" w:rsidRDefault="00CE7FB6" w:rsidP="00DA54B5">
            <w:pPr>
              <w:rPr>
                <w:lang w:val="en-GB"/>
              </w:rPr>
            </w:pPr>
            <w:r w:rsidRPr="00622335">
              <w:rPr>
                <w:rFonts w:cs="Arial"/>
                <w:szCs w:val="22"/>
                <w:lang w:val="en-GB"/>
              </w:rPr>
              <w:t>Functional Observational Battery</w:t>
            </w:r>
          </w:p>
        </w:tc>
      </w:tr>
      <w:tr w:rsidR="00FD3A50" w:rsidRPr="00DE5269" w14:paraId="06CF768B" w14:textId="77777777" w:rsidTr="00FD3A50">
        <w:tc>
          <w:tcPr>
            <w:tcW w:w="2093" w:type="dxa"/>
          </w:tcPr>
          <w:p w14:paraId="15A82DF3" w14:textId="77777777" w:rsidR="00FD3A50" w:rsidRPr="00622335" w:rsidRDefault="00FD3A50" w:rsidP="00DA54B5">
            <w:pPr>
              <w:rPr>
                <w:lang w:val="en-GB"/>
              </w:rPr>
            </w:pPr>
            <w:r w:rsidRPr="00622335">
              <w:rPr>
                <w:lang w:val="en-GB"/>
              </w:rPr>
              <w:t>GLC</w:t>
            </w:r>
          </w:p>
        </w:tc>
        <w:tc>
          <w:tcPr>
            <w:tcW w:w="7193" w:type="dxa"/>
          </w:tcPr>
          <w:p w14:paraId="6FF78C54" w14:textId="1BF0D877" w:rsidR="00FD3A50" w:rsidRPr="00622335" w:rsidRDefault="00CE7FB6" w:rsidP="00DA54B5">
            <w:pPr>
              <w:rPr>
                <w:lang w:val="en-GB"/>
              </w:rPr>
            </w:pPr>
            <w:r w:rsidRPr="00622335">
              <w:rPr>
                <w:lang w:val="en-GB"/>
              </w:rPr>
              <w:t>Gas Liquid Chromatography</w:t>
            </w:r>
          </w:p>
        </w:tc>
      </w:tr>
      <w:tr w:rsidR="00F10110" w:rsidRPr="00DE5269" w14:paraId="1A3DB174" w14:textId="77777777" w:rsidTr="00FD3A50">
        <w:tc>
          <w:tcPr>
            <w:tcW w:w="2093" w:type="dxa"/>
          </w:tcPr>
          <w:p w14:paraId="25645434" w14:textId="5833B371" w:rsidR="00F10110" w:rsidRPr="00622335" w:rsidRDefault="00F10110" w:rsidP="00DA54B5">
            <w:pPr>
              <w:rPr>
                <w:lang w:val="en-GB"/>
              </w:rPr>
            </w:pPr>
            <w:r w:rsidRPr="00622335">
              <w:rPr>
                <w:lang w:val="en-GB"/>
              </w:rPr>
              <w:t>GC</w:t>
            </w:r>
          </w:p>
        </w:tc>
        <w:tc>
          <w:tcPr>
            <w:tcW w:w="7193" w:type="dxa"/>
          </w:tcPr>
          <w:p w14:paraId="14FF1E64" w14:textId="2A7D025C" w:rsidR="00F10110" w:rsidRPr="00622335" w:rsidRDefault="00F10110" w:rsidP="00DA54B5">
            <w:pPr>
              <w:rPr>
                <w:lang w:val="en-GB"/>
              </w:rPr>
            </w:pPr>
            <w:r w:rsidRPr="00622335">
              <w:rPr>
                <w:lang w:val="en-GB"/>
              </w:rPr>
              <w:t xml:space="preserve">Gas Chromatography </w:t>
            </w:r>
          </w:p>
        </w:tc>
      </w:tr>
      <w:tr w:rsidR="00FD3A50" w:rsidRPr="00DE5269" w14:paraId="3C430751" w14:textId="77777777" w:rsidTr="00FD3A50">
        <w:tc>
          <w:tcPr>
            <w:tcW w:w="2093" w:type="dxa"/>
          </w:tcPr>
          <w:p w14:paraId="60036811" w14:textId="77777777" w:rsidR="00FD3A50" w:rsidRPr="00622335" w:rsidRDefault="00FD3A50" w:rsidP="00DA54B5">
            <w:pPr>
              <w:rPr>
                <w:lang w:val="en-GB"/>
              </w:rPr>
            </w:pPr>
            <w:r w:rsidRPr="00622335">
              <w:rPr>
                <w:lang w:val="en-GB"/>
              </w:rPr>
              <w:t>GMO</w:t>
            </w:r>
          </w:p>
        </w:tc>
        <w:tc>
          <w:tcPr>
            <w:tcW w:w="7193" w:type="dxa"/>
          </w:tcPr>
          <w:p w14:paraId="7DBC4F81" w14:textId="77777777" w:rsidR="00FD3A50" w:rsidRPr="00622335" w:rsidRDefault="00FD3A50" w:rsidP="00DA54B5">
            <w:pPr>
              <w:rPr>
                <w:lang w:val="en-GB"/>
              </w:rPr>
            </w:pPr>
            <w:r w:rsidRPr="00622335">
              <w:rPr>
                <w:lang w:val="en-GB"/>
              </w:rPr>
              <w:t>Genetically modified organism</w:t>
            </w:r>
          </w:p>
        </w:tc>
      </w:tr>
      <w:tr w:rsidR="00FD3A50" w:rsidRPr="00DE5269" w14:paraId="3B586345" w14:textId="77777777" w:rsidTr="00FD3A50">
        <w:tc>
          <w:tcPr>
            <w:tcW w:w="2093" w:type="dxa"/>
          </w:tcPr>
          <w:p w14:paraId="2EF0A217" w14:textId="77777777" w:rsidR="00FD3A50" w:rsidRPr="00622335" w:rsidRDefault="00FD3A50" w:rsidP="00DA54B5">
            <w:pPr>
              <w:rPr>
                <w:lang w:val="en-GB"/>
              </w:rPr>
            </w:pPr>
            <w:r w:rsidRPr="00622335">
              <w:rPr>
                <w:lang w:val="en-GB"/>
              </w:rPr>
              <w:t>GMP</w:t>
            </w:r>
          </w:p>
        </w:tc>
        <w:tc>
          <w:tcPr>
            <w:tcW w:w="7193" w:type="dxa"/>
          </w:tcPr>
          <w:p w14:paraId="6087230C" w14:textId="77777777" w:rsidR="00FD3A50" w:rsidRPr="00622335" w:rsidRDefault="00FD3A50" w:rsidP="00DA54B5">
            <w:pPr>
              <w:rPr>
                <w:lang w:val="en-GB"/>
              </w:rPr>
            </w:pPr>
            <w:r w:rsidRPr="00622335">
              <w:rPr>
                <w:lang w:val="en-GB"/>
              </w:rPr>
              <w:t>Good manufacturing practice</w:t>
            </w:r>
          </w:p>
        </w:tc>
      </w:tr>
      <w:tr w:rsidR="00FD3A50" w:rsidRPr="00DE5269" w14:paraId="47E54605" w14:textId="77777777" w:rsidTr="00FD3A50">
        <w:tc>
          <w:tcPr>
            <w:tcW w:w="2093" w:type="dxa"/>
          </w:tcPr>
          <w:p w14:paraId="48E514B9" w14:textId="77777777" w:rsidR="00FD3A50" w:rsidRPr="00622335" w:rsidRDefault="00FD3A50" w:rsidP="00DA54B5">
            <w:pPr>
              <w:rPr>
                <w:lang w:val="en-GB"/>
              </w:rPr>
            </w:pPr>
            <w:r w:rsidRPr="00622335">
              <w:rPr>
                <w:lang w:val="en-GB"/>
              </w:rPr>
              <w:t>HCG</w:t>
            </w:r>
          </w:p>
        </w:tc>
        <w:tc>
          <w:tcPr>
            <w:tcW w:w="7193" w:type="dxa"/>
          </w:tcPr>
          <w:p w14:paraId="1758E210" w14:textId="1A023EAD" w:rsidR="00FD3A50" w:rsidRPr="00622335" w:rsidRDefault="0091178D" w:rsidP="00DA54B5">
            <w:pPr>
              <w:rPr>
                <w:lang w:val="en-GB"/>
              </w:rPr>
            </w:pPr>
            <w:r w:rsidRPr="00622335">
              <w:rPr>
                <w:lang w:val="en-GB"/>
              </w:rPr>
              <w:t>Human chorionic gonadotropin</w:t>
            </w:r>
          </w:p>
        </w:tc>
      </w:tr>
      <w:tr w:rsidR="00FD3A50" w:rsidRPr="00DE5269" w14:paraId="0168465D" w14:textId="77777777" w:rsidTr="00FD3A50">
        <w:tc>
          <w:tcPr>
            <w:tcW w:w="2093" w:type="dxa"/>
          </w:tcPr>
          <w:p w14:paraId="66A0DCA4" w14:textId="02257D13" w:rsidR="00FD3A50" w:rsidRPr="00622335" w:rsidRDefault="0091178D" w:rsidP="00DA54B5">
            <w:pPr>
              <w:rPr>
                <w:lang w:val="en-GB"/>
              </w:rPr>
            </w:pPr>
            <w:r w:rsidRPr="00622335">
              <w:rPr>
                <w:lang w:val="en-GB"/>
              </w:rPr>
              <w:t>HDL</w:t>
            </w:r>
          </w:p>
        </w:tc>
        <w:tc>
          <w:tcPr>
            <w:tcW w:w="7193" w:type="dxa"/>
          </w:tcPr>
          <w:p w14:paraId="443D5EBD" w14:textId="22B918A6" w:rsidR="00FD3A50" w:rsidRPr="00622335" w:rsidRDefault="0091178D" w:rsidP="00DA54B5">
            <w:pPr>
              <w:rPr>
                <w:lang w:val="en-GB"/>
              </w:rPr>
            </w:pPr>
            <w:r w:rsidRPr="00622335">
              <w:rPr>
                <w:lang w:val="en-GB"/>
              </w:rPr>
              <w:t xml:space="preserve">High density lipoprotein </w:t>
            </w:r>
          </w:p>
        </w:tc>
      </w:tr>
      <w:tr w:rsidR="00FD3A50" w:rsidRPr="00DE5269" w14:paraId="46E022C1" w14:textId="77777777" w:rsidTr="00FD3A50">
        <w:tc>
          <w:tcPr>
            <w:tcW w:w="2093" w:type="dxa"/>
          </w:tcPr>
          <w:p w14:paraId="18601F20" w14:textId="77777777" w:rsidR="00FD3A50" w:rsidRPr="00622335" w:rsidRDefault="00FD3A50" w:rsidP="00DA54B5">
            <w:pPr>
              <w:rPr>
                <w:lang w:val="en-GB"/>
              </w:rPr>
            </w:pPr>
            <w:r w:rsidRPr="00622335">
              <w:rPr>
                <w:lang w:val="en-GB"/>
              </w:rPr>
              <w:t>HPBL</w:t>
            </w:r>
          </w:p>
        </w:tc>
        <w:tc>
          <w:tcPr>
            <w:tcW w:w="7193" w:type="dxa"/>
          </w:tcPr>
          <w:p w14:paraId="3A96D117" w14:textId="77777777" w:rsidR="00FD3A50" w:rsidRPr="00622335" w:rsidRDefault="00FD3A50" w:rsidP="00DA54B5">
            <w:pPr>
              <w:rPr>
                <w:lang w:val="en-GB"/>
              </w:rPr>
            </w:pPr>
            <w:r w:rsidRPr="00622335">
              <w:rPr>
                <w:lang w:val="en-GB"/>
              </w:rPr>
              <w:t>Human peripheral blood lymphocytes</w:t>
            </w:r>
          </w:p>
        </w:tc>
      </w:tr>
      <w:tr w:rsidR="00FD3A50" w:rsidRPr="00DE5269" w14:paraId="76F86EDB" w14:textId="77777777" w:rsidTr="00FD3A50">
        <w:tc>
          <w:tcPr>
            <w:tcW w:w="2093" w:type="dxa"/>
          </w:tcPr>
          <w:p w14:paraId="46A93B08" w14:textId="77777777" w:rsidR="00FD3A50" w:rsidRPr="00622335" w:rsidRDefault="00FD3A50" w:rsidP="00DA54B5">
            <w:pPr>
              <w:rPr>
                <w:lang w:val="en-GB"/>
              </w:rPr>
            </w:pPr>
            <w:r w:rsidRPr="00622335">
              <w:rPr>
                <w:lang w:val="en-GB"/>
              </w:rPr>
              <w:t>IPA</w:t>
            </w:r>
          </w:p>
        </w:tc>
        <w:tc>
          <w:tcPr>
            <w:tcW w:w="7193" w:type="dxa"/>
          </w:tcPr>
          <w:p w14:paraId="654A85B5" w14:textId="316C7018" w:rsidR="00FD3A50" w:rsidRPr="00622335" w:rsidRDefault="0091178D" w:rsidP="00DA54B5">
            <w:pPr>
              <w:rPr>
                <w:lang w:val="en-GB"/>
              </w:rPr>
            </w:pPr>
            <w:r w:rsidRPr="00622335">
              <w:rPr>
                <w:lang w:val="en-GB" w:eastAsia="en-AU" w:bidi="ar-SA"/>
              </w:rPr>
              <w:t>Isopropyl alcohol</w:t>
            </w:r>
          </w:p>
        </w:tc>
      </w:tr>
      <w:tr w:rsidR="00FD3A50" w:rsidRPr="00DE5269" w14:paraId="2825AA75" w14:textId="77777777" w:rsidTr="00FD3A50">
        <w:tc>
          <w:tcPr>
            <w:tcW w:w="2093" w:type="dxa"/>
          </w:tcPr>
          <w:p w14:paraId="6AB05F2A" w14:textId="77777777" w:rsidR="00FD3A50" w:rsidRPr="00622335" w:rsidRDefault="00FD3A50" w:rsidP="00DA54B5">
            <w:pPr>
              <w:rPr>
                <w:lang w:val="en-GB"/>
              </w:rPr>
            </w:pPr>
            <w:r w:rsidRPr="00622335">
              <w:rPr>
                <w:lang w:val="en-GB"/>
              </w:rPr>
              <w:t>LC-PUFA</w:t>
            </w:r>
          </w:p>
        </w:tc>
        <w:tc>
          <w:tcPr>
            <w:tcW w:w="7193" w:type="dxa"/>
          </w:tcPr>
          <w:p w14:paraId="0B3FC2ED" w14:textId="77777777" w:rsidR="00FD3A50" w:rsidRPr="00622335" w:rsidRDefault="00FD3A50" w:rsidP="00DA54B5">
            <w:pPr>
              <w:rPr>
                <w:lang w:val="en-GB"/>
              </w:rPr>
            </w:pPr>
            <w:r w:rsidRPr="00622335">
              <w:rPr>
                <w:lang w:val="en-GB"/>
              </w:rPr>
              <w:t>Long chain polyunsaturated fatty acids</w:t>
            </w:r>
          </w:p>
        </w:tc>
      </w:tr>
      <w:tr w:rsidR="00FD3A50" w:rsidRPr="00DE5269" w14:paraId="187BC836" w14:textId="77777777" w:rsidTr="00FD3A50">
        <w:tc>
          <w:tcPr>
            <w:tcW w:w="2093" w:type="dxa"/>
          </w:tcPr>
          <w:p w14:paraId="4809125C" w14:textId="77777777" w:rsidR="00FD3A50" w:rsidRPr="00622335" w:rsidRDefault="00FD3A50" w:rsidP="00DA54B5">
            <w:pPr>
              <w:rPr>
                <w:lang w:val="en-GB"/>
              </w:rPr>
            </w:pPr>
            <w:r w:rsidRPr="00622335">
              <w:rPr>
                <w:lang w:val="en-GB"/>
              </w:rPr>
              <w:t>LD</w:t>
            </w:r>
          </w:p>
        </w:tc>
        <w:tc>
          <w:tcPr>
            <w:tcW w:w="7193" w:type="dxa"/>
          </w:tcPr>
          <w:p w14:paraId="1F1234AE" w14:textId="77777777" w:rsidR="00FD3A50" w:rsidRPr="00622335" w:rsidRDefault="00FD3A50" w:rsidP="00DA54B5">
            <w:pPr>
              <w:rPr>
                <w:lang w:val="en-GB"/>
              </w:rPr>
            </w:pPr>
            <w:r w:rsidRPr="00622335">
              <w:rPr>
                <w:lang w:val="en-GB"/>
              </w:rPr>
              <w:t>Lactation Day</w:t>
            </w:r>
          </w:p>
        </w:tc>
      </w:tr>
      <w:tr w:rsidR="00FD3A50" w:rsidRPr="00DE5269" w14:paraId="58A0D595" w14:textId="77777777" w:rsidTr="00FD3A50">
        <w:tc>
          <w:tcPr>
            <w:tcW w:w="2093" w:type="dxa"/>
          </w:tcPr>
          <w:p w14:paraId="6704ED60" w14:textId="77777777" w:rsidR="00FD3A50" w:rsidRPr="00622335" w:rsidRDefault="00FD3A50" w:rsidP="00DA54B5">
            <w:pPr>
              <w:rPr>
                <w:lang w:val="en-GB"/>
              </w:rPr>
            </w:pPr>
            <w:r w:rsidRPr="00622335">
              <w:rPr>
                <w:lang w:val="en-GB"/>
              </w:rPr>
              <w:t>NHMRC</w:t>
            </w:r>
          </w:p>
        </w:tc>
        <w:tc>
          <w:tcPr>
            <w:tcW w:w="7193" w:type="dxa"/>
          </w:tcPr>
          <w:p w14:paraId="43135B42" w14:textId="77777777" w:rsidR="00FD3A50" w:rsidRPr="00622335" w:rsidRDefault="00FD3A50" w:rsidP="00DA54B5">
            <w:pPr>
              <w:rPr>
                <w:lang w:val="en-GB"/>
              </w:rPr>
            </w:pPr>
            <w:r w:rsidRPr="00622335">
              <w:rPr>
                <w:lang w:val="en-GB"/>
              </w:rPr>
              <w:t>National Health and Medical Research Council</w:t>
            </w:r>
          </w:p>
        </w:tc>
      </w:tr>
      <w:tr w:rsidR="00FD3A50" w:rsidRPr="00DE5269" w14:paraId="1D48149F" w14:textId="77777777" w:rsidTr="00FD3A50">
        <w:tc>
          <w:tcPr>
            <w:tcW w:w="2093" w:type="dxa"/>
          </w:tcPr>
          <w:p w14:paraId="50260A93" w14:textId="77777777" w:rsidR="00FD3A50" w:rsidRPr="00622335" w:rsidRDefault="00FD3A50" w:rsidP="00DA54B5">
            <w:pPr>
              <w:rPr>
                <w:lang w:val="en-GB"/>
              </w:rPr>
            </w:pPr>
            <w:r w:rsidRPr="00622335">
              <w:rPr>
                <w:lang w:val="en-GB"/>
              </w:rPr>
              <w:t>NOAEL</w:t>
            </w:r>
          </w:p>
        </w:tc>
        <w:tc>
          <w:tcPr>
            <w:tcW w:w="7193" w:type="dxa"/>
          </w:tcPr>
          <w:p w14:paraId="5E70826A" w14:textId="67B277C8" w:rsidR="00FD3A50" w:rsidRPr="00622335" w:rsidRDefault="00CE7FB6" w:rsidP="00CE7FB6">
            <w:pPr>
              <w:rPr>
                <w:lang w:val="en-GB"/>
              </w:rPr>
            </w:pPr>
            <w:r w:rsidRPr="00622335">
              <w:rPr>
                <w:rStyle w:val="tgc"/>
                <w:rFonts w:cs="Arial"/>
                <w:color w:val="222222"/>
                <w:lang w:val="en-GB"/>
              </w:rPr>
              <w:t xml:space="preserve">No Observed Adverse Effect Level </w:t>
            </w:r>
          </w:p>
        </w:tc>
      </w:tr>
      <w:tr w:rsidR="00FD3A50" w:rsidRPr="00DE5269" w14:paraId="0CD42556" w14:textId="77777777" w:rsidTr="00FD3A50">
        <w:tc>
          <w:tcPr>
            <w:tcW w:w="2093" w:type="dxa"/>
          </w:tcPr>
          <w:p w14:paraId="714BD1C1" w14:textId="77777777" w:rsidR="00FD3A50" w:rsidRPr="00622335" w:rsidRDefault="00FD3A50" w:rsidP="00DA54B5">
            <w:pPr>
              <w:rPr>
                <w:lang w:val="en-GB"/>
              </w:rPr>
            </w:pPr>
            <w:r w:rsidRPr="00622335">
              <w:rPr>
                <w:lang w:val="en-GB"/>
              </w:rPr>
              <w:t>NOEL</w:t>
            </w:r>
          </w:p>
        </w:tc>
        <w:tc>
          <w:tcPr>
            <w:tcW w:w="7193" w:type="dxa"/>
          </w:tcPr>
          <w:p w14:paraId="04BAC996" w14:textId="77777777" w:rsidR="00FD3A50" w:rsidRPr="00622335" w:rsidRDefault="00FD3A50" w:rsidP="00DA54B5">
            <w:pPr>
              <w:rPr>
                <w:lang w:val="en-GB"/>
              </w:rPr>
            </w:pPr>
            <w:r w:rsidRPr="00622335">
              <w:rPr>
                <w:lang w:val="en-GB" w:eastAsia="en-AU" w:bidi="ar-SA"/>
              </w:rPr>
              <w:t>No Observed Effect Level</w:t>
            </w:r>
          </w:p>
        </w:tc>
      </w:tr>
      <w:tr w:rsidR="00FD3A50" w:rsidRPr="00DE5269" w14:paraId="700CE65A" w14:textId="77777777" w:rsidTr="00FD3A50">
        <w:tc>
          <w:tcPr>
            <w:tcW w:w="2093" w:type="dxa"/>
          </w:tcPr>
          <w:p w14:paraId="5EBA9602" w14:textId="77777777" w:rsidR="00FD3A50" w:rsidRPr="00622335" w:rsidRDefault="00FD3A50" w:rsidP="00DA54B5">
            <w:pPr>
              <w:rPr>
                <w:lang w:val="en-GB"/>
              </w:rPr>
            </w:pPr>
            <w:r w:rsidRPr="00622335">
              <w:rPr>
                <w:lang w:val="en-GB"/>
              </w:rPr>
              <w:t>PCE</w:t>
            </w:r>
          </w:p>
        </w:tc>
        <w:tc>
          <w:tcPr>
            <w:tcW w:w="7193" w:type="dxa"/>
          </w:tcPr>
          <w:p w14:paraId="3719B3A1" w14:textId="47F1C9CC" w:rsidR="00FD3A50" w:rsidRPr="00622335" w:rsidRDefault="0091178D" w:rsidP="0091178D">
            <w:pPr>
              <w:rPr>
                <w:lang w:val="en-GB"/>
              </w:rPr>
            </w:pPr>
            <w:r w:rsidRPr="00622335">
              <w:rPr>
                <w:lang w:val="en-GB" w:eastAsia="en-AU" w:bidi="ar-SA"/>
              </w:rPr>
              <w:t>Polychromatic erythrocytes</w:t>
            </w:r>
          </w:p>
        </w:tc>
      </w:tr>
      <w:tr w:rsidR="00FD3A50" w:rsidRPr="00DE5269" w14:paraId="18B22F35" w14:textId="77777777" w:rsidTr="00FD3A50">
        <w:tc>
          <w:tcPr>
            <w:tcW w:w="2093" w:type="dxa"/>
          </w:tcPr>
          <w:p w14:paraId="35C42F33" w14:textId="77777777" w:rsidR="00FD3A50" w:rsidRPr="00622335" w:rsidRDefault="00FD3A50" w:rsidP="00DA54B5">
            <w:pPr>
              <w:rPr>
                <w:lang w:val="en-GB"/>
              </w:rPr>
            </w:pPr>
            <w:r w:rsidRPr="00622335">
              <w:rPr>
                <w:lang w:val="en-GB"/>
              </w:rPr>
              <w:t>RDI</w:t>
            </w:r>
          </w:p>
        </w:tc>
        <w:tc>
          <w:tcPr>
            <w:tcW w:w="7193" w:type="dxa"/>
          </w:tcPr>
          <w:p w14:paraId="42538215" w14:textId="77777777" w:rsidR="00FD3A50" w:rsidRPr="00622335" w:rsidRDefault="00FD3A50" w:rsidP="00DA54B5">
            <w:pPr>
              <w:rPr>
                <w:lang w:val="en-GB"/>
              </w:rPr>
            </w:pPr>
            <w:r w:rsidRPr="00622335">
              <w:rPr>
                <w:lang w:val="en-GB"/>
              </w:rPr>
              <w:t>Recommended Dietary Intake</w:t>
            </w:r>
          </w:p>
        </w:tc>
      </w:tr>
      <w:tr w:rsidR="00FD3A50" w:rsidRPr="00DE5269" w14:paraId="549AB6CE" w14:textId="77777777" w:rsidTr="00FD3A50">
        <w:tc>
          <w:tcPr>
            <w:tcW w:w="2093" w:type="dxa"/>
          </w:tcPr>
          <w:p w14:paraId="07265BD1" w14:textId="31ADCBF9" w:rsidR="00FD3A50" w:rsidRPr="00622335" w:rsidRDefault="00FD3A50" w:rsidP="00DA54B5">
            <w:pPr>
              <w:rPr>
                <w:lang w:val="en-GB"/>
              </w:rPr>
            </w:pPr>
            <w:r w:rsidRPr="00622335">
              <w:rPr>
                <w:lang w:val="en-GB"/>
              </w:rPr>
              <w:t>US</w:t>
            </w:r>
            <w:r w:rsidR="00A25545">
              <w:rPr>
                <w:lang w:val="en-GB"/>
              </w:rPr>
              <w:t xml:space="preserve"> </w:t>
            </w:r>
            <w:r w:rsidR="0091178D" w:rsidRPr="00622335">
              <w:rPr>
                <w:lang w:val="en-GB"/>
              </w:rPr>
              <w:t>FDA</w:t>
            </w:r>
          </w:p>
        </w:tc>
        <w:tc>
          <w:tcPr>
            <w:tcW w:w="7193" w:type="dxa"/>
          </w:tcPr>
          <w:p w14:paraId="659D0A22" w14:textId="519B57D0" w:rsidR="00FD3A50" w:rsidRPr="00622335" w:rsidRDefault="00CE7FB6" w:rsidP="00DA54B5">
            <w:pPr>
              <w:rPr>
                <w:lang w:val="en-GB"/>
              </w:rPr>
            </w:pPr>
            <w:r w:rsidRPr="00622335">
              <w:rPr>
                <w:lang w:val="en-GB"/>
              </w:rPr>
              <w:t xml:space="preserve">United States Food and Drug Administration </w:t>
            </w:r>
          </w:p>
        </w:tc>
      </w:tr>
    </w:tbl>
    <w:p w14:paraId="27B5CAC1" w14:textId="77777777" w:rsidR="00051ED9" w:rsidRPr="00622335" w:rsidRDefault="00562917" w:rsidP="00772BDC">
      <w:pPr>
        <w:rPr>
          <w:lang w:val="en-GB"/>
        </w:rPr>
      </w:pPr>
      <w:r w:rsidRPr="00622335">
        <w:rPr>
          <w:lang w:val="en-GB"/>
        </w:rPr>
        <w:br w:type="page"/>
      </w:r>
    </w:p>
    <w:p w14:paraId="043013F3" w14:textId="5A019610" w:rsidR="00D60568" w:rsidRPr="00622335" w:rsidRDefault="00EF2C38" w:rsidP="007F5588">
      <w:pPr>
        <w:pStyle w:val="Heading1"/>
        <w:rPr>
          <w:lang w:val="en-GB"/>
        </w:rPr>
      </w:pPr>
      <w:bookmarkStart w:id="6" w:name="_Toc457821662"/>
      <w:bookmarkStart w:id="7" w:name="_Toc464129757"/>
      <w:r w:rsidRPr="00622335">
        <w:rPr>
          <w:lang w:val="en-GB"/>
        </w:rPr>
        <w:lastRenderedPageBreak/>
        <w:t>1</w:t>
      </w:r>
      <w:r w:rsidRPr="00622335">
        <w:rPr>
          <w:lang w:val="en-GB"/>
        </w:rPr>
        <w:tab/>
      </w:r>
      <w:r w:rsidR="00A86894" w:rsidRPr="00622335">
        <w:rPr>
          <w:lang w:val="en-GB"/>
        </w:rPr>
        <w:t>Background and scope</w:t>
      </w:r>
      <w:bookmarkEnd w:id="6"/>
      <w:bookmarkEnd w:id="7"/>
    </w:p>
    <w:p w14:paraId="5BF2E557" w14:textId="481F34DB" w:rsidR="00C11E12" w:rsidRPr="00A76FA6" w:rsidRDefault="00EF2C38" w:rsidP="00FE490D">
      <w:pPr>
        <w:pStyle w:val="Heading2"/>
      </w:pPr>
      <w:bookmarkStart w:id="8" w:name="_Toc457821663"/>
      <w:bookmarkStart w:id="9" w:name="_Toc464129758"/>
      <w:r w:rsidRPr="00FE490D">
        <w:t>1.1</w:t>
      </w:r>
      <w:r w:rsidRPr="00FE490D">
        <w:tab/>
      </w:r>
      <w:r w:rsidR="00C11E12" w:rsidRPr="00A76FA6">
        <w:t>Background</w:t>
      </w:r>
      <w:bookmarkEnd w:id="8"/>
      <w:bookmarkEnd w:id="9"/>
    </w:p>
    <w:p w14:paraId="721558CF" w14:textId="7912C86C" w:rsidR="00FC181E" w:rsidRPr="00622335" w:rsidRDefault="00C11E12" w:rsidP="00C053BA">
      <w:pPr>
        <w:spacing w:after="240"/>
        <w:rPr>
          <w:lang w:val="en-GB"/>
        </w:rPr>
      </w:pPr>
      <w:r w:rsidRPr="00622335">
        <w:rPr>
          <w:lang w:val="en-GB"/>
        </w:rPr>
        <w:t>Th</w:t>
      </w:r>
      <w:r w:rsidR="00200B76">
        <w:rPr>
          <w:lang w:val="en-GB"/>
        </w:rPr>
        <w:t>e</w:t>
      </w:r>
      <w:r w:rsidRPr="00622335">
        <w:rPr>
          <w:lang w:val="en-GB"/>
        </w:rPr>
        <w:t xml:space="preserve"> </w:t>
      </w:r>
      <w:r w:rsidR="00200B76" w:rsidRPr="00622335">
        <w:rPr>
          <w:lang w:val="en-GB"/>
        </w:rPr>
        <w:t xml:space="preserve">Application </w:t>
      </w:r>
      <w:r w:rsidRPr="00622335">
        <w:rPr>
          <w:lang w:val="en-GB"/>
        </w:rPr>
        <w:t xml:space="preserve">has been submitted by DSM Nutritional Products for consideration of the use of an additional, replacement or alternative </w:t>
      </w:r>
      <w:r w:rsidR="00580DE2" w:rsidRPr="00622335">
        <w:rPr>
          <w:rFonts w:eastAsia="Arial Unicode MS"/>
          <w:lang w:val="en-GB" w:bidi="ar-SA"/>
        </w:rPr>
        <w:t>DHA</w:t>
      </w:r>
      <w:r w:rsidRPr="00622335">
        <w:rPr>
          <w:lang w:val="en-GB"/>
        </w:rPr>
        <w:t xml:space="preserve"> oil source for </w:t>
      </w:r>
      <w:r w:rsidR="00EF2C38" w:rsidRPr="00622335">
        <w:rPr>
          <w:lang w:val="en-GB"/>
        </w:rPr>
        <w:t>infant formula products</w:t>
      </w:r>
      <w:r w:rsidRPr="00622335">
        <w:rPr>
          <w:lang w:val="en-GB"/>
        </w:rPr>
        <w:t>.</w:t>
      </w:r>
      <w:r w:rsidR="00F3019F" w:rsidRPr="00622335">
        <w:rPr>
          <w:lang w:val="en-GB"/>
        </w:rPr>
        <w:t xml:space="preserve"> The oil is derived from marine microalgae </w:t>
      </w:r>
      <w:r w:rsidR="00F3019F" w:rsidRPr="00622335">
        <w:rPr>
          <w:i/>
          <w:lang w:val="en-GB" w:eastAsia="en-AU" w:bidi="ar-SA"/>
        </w:rPr>
        <w:t>Schizochytrium</w:t>
      </w:r>
      <w:r w:rsidR="00F3019F" w:rsidRPr="00622335">
        <w:rPr>
          <w:lang w:val="en-GB" w:eastAsia="en-AU" w:bidi="ar-SA"/>
        </w:rPr>
        <w:t xml:space="preserve"> sp. </w:t>
      </w:r>
    </w:p>
    <w:p w14:paraId="7CB0C17D" w14:textId="5CC16DCD" w:rsidR="00C053BA" w:rsidRPr="00622335" w:rsidRDefault="007D1D6B" w:rsidP="00C053BA">
      <w:pPr>
        <w:widowControl/>
        <w:rPr>
          <w:rFonts w:eastAsia="Arial Unicode MS"/>
          <w:szCs w:val="22"/>
          <w:lang w:val="en-GB" w:bidi="ar-SA"/>
        </w:rPr>
      </w:pPr>
      <w:r w:rsidRPr="00622335">
        <w:rPr>
          <w:rFonts w:eastAsia="Calibri"/>
          <w:szCs w:val="22"/>
          <w:lang w:val="en-GB" w:bidi="ar-SA"/>
        </w:rPr>
        <w:t xml:space="preserve">DHA is an omega-3 (n-3) long chain polyunsaturated fatty acid (LC-PUFA). </w:t>
      </w:r>
      <w:r w:rsidR="00E9691B" w:rsidRPr="00622335">
        <w:rPr>
          <w:rFonts w:eastAsia="Calibri"/>
          <w:szCs w:val="22"/>
          <w:lang w:val="en-GB" w:bidi="ar-SA"/>
        </w:rPr>
        <w:t xml:space="preserve">The </w:t>
      </w:r>
      <w:r w:rsidRPr="00622335">
        <w:rPr>
          <w:rFonts w:eastAsia="Calibri"/>
          <w:szCs w:val="22"/>
          <w:lang w:val="en-GB" w:bidi="ar-SA"/>
        </w:rPr>
        <w:t>n-3 LC-PUFAs, particularly DHA, have been identified as important dietary components and are normal constituents of the human diet.</w:t>
      </w:r>
      <w:r w:rsidR="00F3019F" w:rsidRPr="00622335">
        <w:rPr>
          <w:rFonts w:eastAsia="Arial Unicode MS"/>
          <w:szCs w:val="22"/>
          <w:lang w:val="en-GB" w:bidi="ar-SA"/>
        </w:rPr>
        <w:t xml:space="preserve"> </w:t>
      </w:r>
      <w:r w:rsidR="00C053BA" w:rsidRPr="00622335">
        <w:rPr>
          <w:rFonts w:eastAsia="Arial Unicode MS"/>
          <w:szCs w:val="22"/>
          <w:lang w:val="en-GB" w:bidi="ar-SA"/>
        </w:rPr>
        <w:t xml:space="preserve">DHA is found in </w:t>
      </w:r>
      <w:r w:rsidR="00AD603F">
        <w:rPr>
          <w:rFonts w:eastAsia="Arial Unicode MS"/>
          <w:szCs w:val="22"/>
          <w:lang w:val="en-GB" w:bidi="ar-SA"/>
        </w:rPr>
        <w:t>breast milk</w:t>
      </w:r>
      <w:r w:rsidR="00FD3A50" w:rsidRPr="00622335">
        <w:rPr>
          <w:rFonts w:eastAsia="Arial Unicode MS"/>
          <w:szCs w:val="22"/>
          <w:lang w:val="en-GB" w:bidi="ar-SA"/>
        </w:rPr>
        <w:t xml:space="preserve">, </w:t>
      </w:r>
      <w:r w:rsidR="00C053BA" w:rsidRPr="00622335">
        <w:rPr>
          <w:rFonts w:eastAsia="Arial Unicode MS"/>
          <w:szCs w:val="22"/>
          <w:lang w:val="en-GB" w:bidi="ar-SA"/>
        </w:rPr>
        <w:t>but the amount of this and other n-3 LC-PUFA</w:t>
      </w:r>
      <w:r w:rsidR="00134341" w:rsidRPr="00622335">
        <w:rPr>
          <w:rFonts w:eastAsia="Arial Unicode MS"/>
          <w:szCs w:val="22"/>
          <w:lang w:val="en-GB" w:bidi="ar-SA"/>
        </w:rPr>
        <w:t>s</w:t>
      </w:r>
      <w:r w:rsidR="00C053BA" w:rsidRPr="00622335">
        <w:rPr>
          <w:rFonts w:eastAsia="Arial Unicode MS"/>
          <w:szCs w:val="22"/>
          <w:lang w:val="en-GB" w:bidi="ar-SA"/>
        </w:rPr>
        <w:t xml:space="preserve"> is largely dependent on maternal intake. </w:t>
      </w:r>
    </w:p>
    <w:p w14:paraId="0C171A60" w14:textId="31313745" w:rsidR="00C053BA" w:rsidRPr="00622335" w:rsidRDefault="00A7045B" w:rsidP="00FE490D">
      <w:pPr>
        <w:pStyle w:val="Heading3"/>
        <w:rPr>
          <w:lang w:val="en-GB"/>
        </w:rPr>
      </w:pPr>
      <w:bookmarkStart w:id="10" w:name="_Toc464129759"/>
      <w:r w:rsidRPr="00622335">
        <w:rPr>
          <w:lang w:val="en-GB"/>
        </w:rPr>
        <w:t>1.1.2</w:t>
      </w:r>
      <w:r w:rsidRPr="00622335">
        <w:rPr>
          <w:lang w:val="en-GB"/>
        </w:rPr>
        <w:tab/>
      </w:r>
      <w:r w:rsidR="00C053BA" w:rsidRPr="00622335">
        <w:rPr>
          <w:lang w:val="en-GB"/>
        </w:rPr>
        <w:t>Micro-algal oils as a source of LC-PUFA</w:t>
      </w:r>
      <w:bookmarkEnd w:id="10"/>
    </w:p>
    <w:p w14:paraId="105B90EC" w14:textId="291F1F62" w:rsidR="007D1D6B" w:rsidRPr="00622335" w:rsidRDefault="007D1D6B" w:rsidP="00EF2C38">
      <w:pPr>
        <w:widowControl/>
        <w:tabs>
          <w:tab w:val="left" w:pos="993"/>
        </w:tabs>
        <w:rPr>
          <w:lang w:val="en-GB" w:eastAsia="en-AU" w:bidi="ar-SA"/>
        </w:rPr>
      </w:pPr>
      <w:r w:rsidRPr="00622335">
        <w:rPr>
          <w:lang w:val="en-GB" w:eastAsia="en-AU" w:bidi="ar-SA"/>
        </w:rPr>
        <w:t>In Australia and New Zealand</w:t>
      </w:r>
      <w:r w:rsidR="00FE490D">
        <w:rPr>
          <w:lang w:val="en-GB" w:eastAsia="en-AU" w:bidi="ar-SA"/>
        </w:rPr>
        <w:t>,</w:t>
      </w:r>
      <w:r w:rsidRPr="00622335">
        <w:rPr>
          <w:lang w:val="en-GB" w:eastAsia="en-AU" w:bidi="ar-SA"/>
        </w:rPr>
        <w:t xml:space="preserve"> </w:t>
      </w:r>
      <w:r w:rsidRPr="00622335">
        <w:rPr>
          <w:lang w:val="en-GB"/>
        </w:rPr>
        <w:t xml:space="preserve">marine micro-algal oils as a source of DHA and other long chain fatty acids have been </w:t>
      </w:r>
      <w:r w:rsidRPr="00622335">
        <w:rPr>
          <w:lang w:val="en-GB" w:eastAsia="en-AU" w:bidi="ar-SA"/>
        </w:rPr>
        <w:t xml:space="preserve">permitted to be added to </w:t>
      </w:r>
      <w:r w:rsidR="00200B76">
        <w:rPr>
          <w:lang w:val="en-GB" w:eastAsia="en-AU" w:bidi="ar-SA"/>
        </w:rPr>
        <w:t>infant formula products</w:t>
      </w:r>
      <w:r w:rsidR="00200B76" w:rsidRPr="00622335">
        <w:rPr>
          <w:lang w:val="en-GB" w:eastAsia="en-AU" w:bidi="ar-SA"/>
        </w:rPr>
        <w:t xml:space="preserve"> </w:t>
      </w:r>
      <w:r w:rsidRPr="00622335">
        <w:rPr>
          <w:lang w:val="en-GB" w:eastAsia="en-AU" w:bidi="ar-SA"/>
        </w:rPr>
        <w:t xml:space="preserve">since 1998. In 2002 approval was gained for the use of algal oil containing approximately 35% DHA produced by fermentation using </w:t>
      </w:r>
      <w:r w:rsidRPr="00622335">
        <w:rPr>
          <w:i/>
          <w:lang w:val="en-GB" w:eastAsia="en-AU" w:bidi="ar-SA"/>
        </w:rPr>
        <w:t>Schizochytrium</w:t>
      </w:r>
      <w:r w:rsidRPr="00622335">
        <w:rPr>
          <w:lang w:val="en-GB" w:eastAsia="en-AU" w:bidi="ar-SA"/>
        </w:rPr>
        <w:t xml:space="preserve"> sp</w:t>
      </w:r>
      <w:r w:rsidR="00B21591" w:rsidRPr="00622335">
        <w:rPr>
          <w:lang w:val="en-GB" w:eastAsia="en-AU" w:bidi="ar-SA"/>
        </w:rPr>
        <w:t>.</w:t>
      </w:r>
      <w:r w:rsidRPr="00622335">
        <w:rPr>
          <w:lang w:val="en-GB" w:eastAsia="en-AU" w:bidi="ar-SA"/>
        </w:rPr>
        <w:t xml:space="preserve"> micro</w:t>
      </w:r>
      <w:r w:rsidR="0045057C" w:rsidRPr="00622335">
        <w:rPr>
          <w:lang w:val="en-GB" w:eastAsia="en-AU" w:bidi="ar-SA"/>
        </w:rPr>
        <w:t>-</w:t>
      </w:r>
      <w:r w:rsidRPr="00622335">
        <w:rPr>
          <w:lang w:val="en-GB" w:eastAsia="en-AU" w:bidi="ar-SA"/>
        </w:rPr>
        <w:t xml:space="preserve">algae as a novel food in Australia and New Zealand (ANZFA, 2002). Standard 2.9.1 </w:t>
      </w:r>
      <w:r w:rsidR="00FE490D">
        <w:rPr>
          <w:lang w:val="en-GB" w:eastAsia="en-AU" w:bidi="ar-SA"/>
        </w:rPr>
        <w:t xml:space="preserve">in </w:t>
      </w:r>
      <w:r w:rsidRPr="00622335">
        <w:rPr>
          <w:lang w:val="en-GB" w:eastAsia="en-AU" w:bidi="ar-SA"/>
        </w:rPr>
        <w:t>the</w:t>
      </w:r>
      <w:r w:rsidRPr="00622335">
        <w:rPr>
          <w:i/>
          <w:lang w:val="en-GB" w:eastAsia="en-AU" w:bidi="ar-SA"/>
        </w:rPr>
        <w:t xml:space="preserve"> </w:t>
      </w:r>
      <w:r w:rsidR="00EF2C38" w:rsidRPr="00622335">
        <w:rPr>
          <w:i/>
          <w:lang w:val="en-GB" w:eastAsia="en-AU" w:bidi="ar-SA"/>
        </w:rPr>
        <w:t xml:space="preserve">Australia New Zealand </w:t>
      </w:r>
      <w:r w:rsidRPr="00622335">
        <w:rPr>
          <w:i/>
          <w:lang w:val="en-GB" w:eastAsia="en-AU" w:bidi="ar-SA"/>
        </w:rPr>
        <w:t xml:space="preserve">Food Standards </w:t>
      </w:r>
      <w:r w:rsidR="00EF2C38" w:rsidRPr="00622335">
        <w:rPr>
          <w:i/>
          <w:lang w:val="en-GB" w:eastAsia="en-AU" w:bidi="ar-SA"/>
        </w:rPr>
        <w:t>Code</w:t>
      </w:r>
      <w:r w:rsidRPr="00622335">
        <w:rPr>
          <w:lang w:val="en-GB" w:eastAsia="en-AU" w:bidi="ar-SA"/>
        </w:rPr>
        <w:t xml:space="preserve"> </w:t>
      </w:r>
      <w:r w:rsidR="00EF2C38" w:rsidRPr="00622335">
        <w:rPr>
          <w:lang w:val="en-GB" w:eastAsia="en-AU" w:bidi="ar-SA"/>
        </w:rPr>
        <w:t xml:space="preserve">(the Code) </w:t>
      </w:r>
      <w:r w:rsidRPr="00622335">
        <w:rPr>
          <w:lang w:val="en-GB" w:eastAsia="en-AU" w:bidi="ar-SA"/>
        </w:rPr>
        <w:t xml:space="preserve">permits the presence of </w:t>
      </w:r>
      <w:r w:rsidR="00EF2C38" w:rsidRPr="00622335">
        <w:rPr>
          <w:lang w:val="en-GB" w:eastAsia="en-AU" w:bidi="ar-SA"/>
        </w:rPr>
        <w:t>n</w:t>
      </w:r>
      <w:r w:rsidRPr="00622335">
        <w:rPr>
          <w:lang w:val="en-GB" w:eastAsia="en-AU" w:bidi="ar-SA"/>
        </w:rPr>
        <w:t xml:space="preserve">-3 LC-PUFA in </w:t>
      </w:r>
      <w:r w:rsidR="00FA31C9">
        <w:rPr>
          <w:lang w:val="en-GB" w:eastAsia="en-AU" w:bidi="ar-SA"/>
        </w:rPr>
        <w:t>infant formula products</w:t>
      </w:r>
      <w:r w:rsidRPr="00622335">
        <w:rPr>
          <w:lang w:val="en-GB" w:eastAsia="en-AU" w:bidi="ar-SA"/>
        </w:rPr>
        <w:t xml:space="preserve"> at a maximum of 1% total fatty acid content.</w:t>
      </w:r>
    </w:p>
    <w:p w14:paraId="1D3724DE" w14:textId="77777777" w:rsidR="00825642" w:rsidRPr="00622335" w:rsidRDefault="00825642" w:rsidP="00EF2C38">
      <w:pPr>
        <w:widowControl/>
        <w:tabs>
          <w:tab w:val="left" w:pos="993"/>
        </w:tabs>
        <w:rPr>
          <w:lang w:val="en-GB" w:eastAsia="en-AU" w:bidi="ar-SA"/>
        </w:rPr>
      </w:pPr>
    </w:p>
    <w:p w14:paraId="5BCBD27D" w14:textId="56FD3FDE" w:rsidR="00825642" w:rsidRPr="00622335" w:rsidRDefault="00825642" w:rsidP="00825642">
      <w:pPr>
        <w:rPr>
          <w:lang w:val="en-GB"/>
        </w:rPr>
      </w:pPr>
      <w:r w:rsidRPr="00622335">
        <w:rPr>
          <w:lang w:val="en-GB"/>
        </w:rPr>
        <w:t xml:space="preserve">There are a number of micro-algal DHA-rich oils available and used in infant formula products. These oils are derived from several different species including several from different strains of the </w:t>
      </w:r>
      <w:r w:rsidRPr="00622335">
        <w:rPr>
          <w:i/>
          <w:lang w:val="en-GB"/>
        </w:rPr>
        <w:t>Schizochytrium</w:t>
      </w:r>
      <w:r w:rsidRPr="00622335">
        <w:rPr>
          <w:lang w:val="en-GB"/>
        </w:rPr>
        <w:t xml:space="preserve"> sp. The fatty acid compositions of these oils are generally similar, with small variations in the amounts of the different LC-PUFAs. </w:t>
      </w:r>
    </w:p>
    <w:p w14:paraId="0716C13A" w14:textId="77777777" w:rsidR="007D1D6B" w:rsidRPr="00622335" w:rsidRDefault="007D1D6B" w:rsidP="007D1D6B">
      <w:pPr>
        <w:rPr>
          <w:lang w:val="en-GB" w:eastAsia="en-AU" w:bidi="ar-SA"/>
        </w:rPr>
      </w:pPr>
    </w:p>
    <w:p w14:paraId="0361D3B4" w14:textId="64AD846C" w:rsidR="00A6245D" w:rsidRPr="00622335" w:rsidRDefault="007D1D6B" w:rsidP="00825642">
      <w:pPr>
        <w:rPr>
          <w:rFonts w:eastAsia="Calibri"/>
          <w:szCs w:val="22"/>
          <w:lang w:val="en-GB" w:bidi="ar-SA"/>
        </w:rPr>
      </w:pPr>
      <w:r w:rsidRPr="00622335">
        <w:rPr>
          <w:lang w:val="en-GB" w:eastAsia="en-AU" w:bidi="ar-SA"/>
        </w:rPr>
        <w:t>This alternative micro</w:t>
      </w:r>
      <w:r w:rsidR="00C94E0D" w:rsidRPr="00622335">
        <w:rPr>
          <w:lang w:val="en-GB" w:eastAsia="en-AU" w:bidi="ar-SA"/>
        </w:rPr>
        <w:t>-algal</w:t>
      </w:r>
      <w:r w:rsidRPr="00622335">
        <w:rPr>
          <w:lang w:val="en-GB" w:eastAsia="en-AU" w:bidi="ar-SA"/>
        </w:rPr>
        <w:t xml:space="preserve"> oil is</w:t>
      </w:r>
      <w:r w:rsidR="00EF2C38" w:rsidRPr="00622335">
        <w:rPr>
          <w:lang w:val="en-GB" w:eastAsia="en-AU" w:bidi="ar-SA"/>
        </w:rPr>
        <w:t xml:space="preserve"> </w:t>
      </w:r>
      <w:r w:rsidR="00EF2C38" w:rsidRPr="00622335">
        <w:rPr>
          <w:rFonts w:cs="Arial"/>
          <w:szCs w:val="22"/>
          <w:lang w:val="en-GB"/>
        </w:rPr>
        <w:t xml:space="preserve">derived from a new production strain of </w:t>
      </w:r>
      <w:r w:rsidR="00EF2C38" w:rsidRPr="00622335">
        <w:rPr>
          <w:rFonts w:cs="Arial"/>
          <w:i/>
          <w:szCs w:val="22"/>
          <w:lang w:val="en-GB"/>
        </w:rPr>
        <w:t xml:space="preserve">Schizochytrium </w:t>
      </w:r>
      <w:r w:rsidR="00EF2C38" w:rsidRPr="00622335">
        <w:rPr>
          <w:rFonts w:cs="Arial"/>
          <w:szCs w:val="22"/>
          <w:lang w:val="en-GB"/>
        </w:rPr>
        <w:t xml:space="preserve">species, identified by its American Type Cell Culture number </w:t>
      </w:r>
      <w:r w:rsidR="00EF2C38" w:rsidRPr="00622335">
        <w:rPr>
          <w:lang w:val="en-GB" w:eastAsia="en-AU" w:bidi="ar-SA"/>
        </w:rPr>
        <w:t xml:space="preserve">ATCC PTA-9695. The </w:t>
      </w:r>
      <w:r w:rsidR="00200B76">
        <w:rPr>
          <w:lang w:val="en-GB" w:eastAsia="en-AU" w:bidi="ar-SA"/>
        </w:rPr>
        <w:t>Applicant</w:t>
      </w:r>
      <w:r w:rsidR="00200B76" w:rsidRPr="00622335">
        <w:rPr>
          <w:lang w:val="en-GB" w:eastAsia="en-AU" w:bidi="ar-SA"/>
        </w:rPr>
        <w:t xml:space="preserve"> </w:t>
      </w:r>
      <w:r w:rsidR="00DA54B5" w:rsidRPr="00622335">
        <w:rPr>
          <w:lang w:val="en-GB" w:eastAsia="en-AU" w:bidi="ar-SA"/>
        </w:rPr>
        <w:t xml:space="preserve">has indicated that this </w:t>
      </w:r>
      <w:r w:rsidR="00EF2C38" w:rsidRPr="00622335">
        <w:rPr>
          <w:lang w:val="en-GB" w:eastAsia="en-AU" w:bidi="ar-SA"/>
        </w:rPr>
        <w:t xml:space="preserve">oil will be sold under the trade names </w:t>
      </w:r>
      <w:r w:rsidR="00FD7080" w:rsidRPr="00622335">
        <w:rPr>
          <w:lang w:val="en-GB" w:eastAsia="en-AU" w:bidi="ar-SA"/>
        </w:rPr>
        <w:t>DHA-B</w:t>
      </w:r>
      <w:r w:rsidR="00EF2C38" w:rsidRPr="00622335">
        <w:rPr>
          <w:lang w:val="en-GB" w:eastAsia="en-AU" w:bidi="ar-SA"/>
        </w:rPr>
        <w:t xml:space="preserve"> or DHA</w:t>
      </w:r>
      <w:r w:rsidR="0045057C" w:rsidRPr="00622335">
        <w:rPr>
          <w:lang w:val="en-GB" w:eastAsia="en-AU" w:bidi="ar-SA"/>
        </w:rPr>
        <w:t>SCO</w:t>
      </w:r>
      <w:r w:rsidR="00EF2C38" w:rsidRPr="00622335">
        <w:rPr>
          <w:lang w:val="en-GB" w:eastAsia="en-AU" w:bidi="ar-SA"/>
        </w:rPr>
        <w:t>-B</w:t>
      </w:r>
      <w:r w:rsidRPr="00622335">
        <w:rPr>
          <w:lang w:val="en-GB" w:eastAsia="en-AU" w:bidi="ar-SA"/>
        </w:rPr>
        <w:t xml:space="preserve">. </w:t>
      </w:r>
      <w:r w:rsidR="00EF2C38" w:rsidRPr="00622335">
        <w:rPr>
          <w:lang w:val="en-GB" w:eastAsia="en-AU" w:bidi="ar-SA"/>
        </w:rPr>
        <w:t xml:space="preserve">The </w:t>
      </w:r>
      <w:r w:rsidR="00200B76">
        <w:rPr>
          <w:lang w:val="en-GB" w:eastAsia="en-AU" w:bidi="ar-SA"/>
        </w:rPr>
        <w:t>Applicant</w:t>
      </w:r>
      <w:r w:rsidR="00200B76" w:rsidRPr="00622335">
        <w:rPr>
          <w:lang w:val="en-GB" w:eastAsia="en-AU" w:bidi="ar-SA"/>
        </w:rPr>
        <w:t xml:space="preserve"> </w:t>
      </w:r>
      <w:r w:rsidR="00EF2C38" w:rsidRPr="00622335">
        <w:rPr>
          <w:lang w:val="en-GB" w:eastAsia="en-AU" w:bidi="ar-SA"/>
        </w:rPr>
        <w:t xml:space="preserve">advises that </w:t>
      </w:r>
      <w:r w:rsidR="004F2931" w:rsidRPr="00622335">
        <w:rPr>
          <w:rFonts w:cs="Arial"/>
          <w:szCs w:val="22"/>
          <w:lang w:val="en-GB"/>
        </w:rPr>
        <w:t xml:space="preserve">this strain is more productive than </w:t>
      </w:r>
      <w:r w:rsidR="001D3BFC" w:rsidRPr="00622335">
        <w:rPr>
          <w:rFonts w:cs="Arial"/>
          <w:szCs w:val="22"/>
          <w:lang w:val="en-GB"/>
        </w:rPr>
        <w:t xml:space="preserve">previous strains from </w:t>
      </w:r>
      <w:r w:rsidR="001D3BFC" w:rsidRPr="00622335">
        <w:rPr>
          <w:rFonts w:eastAsia="Calibri"/>
          <w:i/>
          <w:szCs w:val="22"/>
          <w:lang w:val="en-GB" w:bidi="ar-SA"/>
        </w:rPr>
        <w:t>Schizochytrium</w:t>
      </w:r>
      <w:r w:rsidR="001D3BFC" w:rsidRPr="00622335">
        <w:rPr>
          <w:rFonts w:eastAsia="Calibri"/>
          <w:szCs w:val="22"/>
          <w:lang w:val="en-GB" w:bidi="ar-SA"/>
        </w:rPr>
        <w:t xml:space="preserve"> sp</w:t>
      </w:r>
      <w:r w:rsidR="00B21591" w:rsidRPr="00622335">
        <w:rPr>
          <w:rFonts w:eastAsia="Calibri"/>
          <w:szCs w:val="22"/>
          <w:lang w:val="en-GB" w:bidi="ar-SA"/>
        </w:rPr>
        <w:t>.</w:t>
      </w:r>
      <w:r w:rsidR="001D3BFC" w:rsidRPr="00622335">
        <w:rPr>
          <w:rFonts w:cs="Arial"/>
          <w:szCs w:val="22"/>
          <w:lang w:val="en-GB"/>
        </w:rPr>
        <w:t xml:space="preserve"> and</w:t>
      </w:r>
      <w:r w:rsidR="00825642" w:rsidRPr="00622335">
        <w:rPr>
          <w:rFonts w:cs="Arial"/>
          <w:szCs w:val="22"/>
          <w:lang w:val="en-GB"/>
        </w:rPr>
        <w:t xml:space="preserve"> other micro-algal species.</w:t>
      </w:r>
      <w:r w:rsidR="001D3BFC" w:rsidRPr="00622335">
        <w:rPr>
          <w:rFonts w:cs="Arial"/>
          <w:i/>
          <w:szCs w:val="22"/>
          <w:lang w:val="en-GB"/>
        </w:rPr>
        <w:t xml:space="preserve"> </w:t>
      </w:r>
    </w:p>
    <w:p w14:paraId="09B1B991" w14:textId="17B32EFA" w:rsidR="002C042E" w:rsidRPr="00FE490D" w:rsidRDefault="002C042E" w:rsidP="0029539A">
      <w:pPr>
        <w:pStyle w:val="Heading2"/>
      </w:pPr>
      <w:bookmarkStart w:id="11" w:name="_Toc457821664"/>
      <w:bookmarkStart w:id="12" w:name="_Toc464129760"/>
      <w:r w:rsidRPr="00FE490D">
        <w:t>1.2</w:t>
      </w:r>
      <w:r w:rsidR="003B0E1D" w:rsidRPr="00A76FA6">
        <w:tab/>
      </w:r>
      <w:r w:rsidR="002B507B" w:rsidRPr="00A76FA6">
        <w:t>Risk Assessment context and s</w:t>
      </w:r>
      <w:r w:rsidRPr="00A76FA6">
        <w:t>cope of assessment</w:t>
      </w:r>
      <w:bookmarkEnd w:id="11"/>
      <w:bookmarkEnd w:id="12"/>
    </w:p>
    <w:p w14:paraId="66EB7C7C" w14:textId="45CB814D" w:rsidR="00FD3A50" w:rsidRPr="00622335" w:rsidRDefault="00825642" w:rsidP="00DA54B5">
      <w:pPr>
        <w:rPr>
          <w:lang w:val="en-GB"/>
        </w:rPr>
      </w:pPr>
      <w:r w:rsidRPr="00622335">
        <w:rPr>
          <w:rFonts w:cs="Arial"/>
          <w:szCs w:val="22"/>
          <w:lang w:val="en-GB"/>
        </w:rPr>
        <w:t xml:space="preserve">As </w:t>
      </w:r>
      <w:r w:rsidR="00FD3A50" w:rsidRPr="00622335">
        <w:rPr>
          <w:rFonts w:cs="Arial"/>
          <w:szCs w:val="22"/>
          <w:lang w:val="en-GB"/>
        </w:rPr>
        <w:t xml:space="preserve">FSANZ has previously assessed and considered several micro-algal oils for use in </w:t>
      </w:r>
      <w:r w:rsidR="00200B76">
        <w:rPr>
          <w:rFonts w:cs="Arial"/>
          <w:szCs w:val="22"/>
          <w:lang w:val="en-GB"/>
        </w:rPr>
        <w:t>infant formula products</w:t>
      </w:r>
      <w:r w:rsidR="00FD3A50" w:rsidRPr="00622335">
        <w:rPr>
          <w:rFonts w:cs="Arial"/>
          <w:szCs w:val="22"/>
          <w:lang w:val="en-GB"/>
        </w:rPr>
        <w:t xml:space="preserve">, the </w:t>
      </w:r>
      <w:r w:rsidR="00FD3A50" w:rsidRPr="00622335">
        <w:rPr>
          <w:lang w:val="en-GB" w:eastAsia="en-AU" w:bidi="ar-SA"/>
        </w:rPr>
        <w:t xml:space="preserve">objective of this assessment is to evaluate the suitability of </w:t>
      </w:r>
      <w:r w:rsidR="00FD7080" w:rsidRPr="00622335">
        <w:rPr>
          <w:lang w:val="en-GB"/>
        </w:rPr>
        <w:t>DHA-B</w:t>
      </w:r>
      <w:r w:rsidR="00FD3A50" w:rsidRPr="00622335">
        <w:rPr>
          <w:lang w:val="en-GB"/>
        </w:rPr>
        <w:t xml:space="preserve"> as an additional, replacement or alternative DHA oil source for infant formula products. </w:t>
      </w:r>
    </w:p>
    <w:p w14:paraId="7313A13F" w14:textId="77777777" w:rsidR="00FD3A50" w:rsidRPr="00622335" w:rsidRDefault="00FD3A50" w:rsidP="00FD3A50">
      <w:pPr>
        <w:rPr>
          <w:lang w:val="en-GB"/>
        </w:rPr>
      </w:pPr>
    </w:p>
    <w:p w14:paraId="531DE5EC" w14:textId="2BD9ABEF" w:rsidR="00FD3A50" w:rsidRPr="00622335" w:rsidRDefault="00FD3A50" w:rsidP="00FD3A50">
      <w:pPr>
        <w:widowControl/>
        <w:tabs>
          <w:tab w:val="left" w:pos="993"/>
        </w:tabs>
        <w:rPr>
          <w:rFonts w:eastAsia="Calibri"/>
          <w:szCs w:val="22"/>
          <w:lang w:val="en-GB" w:bidi="ar-SA"/>
        </w:rPr>
      </w:pPr>
      <w:r w:rsidRPr="00622335">
        <w:rPr>
          <w:rFonts w:eastAsia="Calibri"/>
          <w:szCs w:val="22"/>
          <w:lang w:val="en-GB" w:bidi="ar-SA"/>
        </w:rPr>
        <w:t xml:space="preserve">It is proposed that </w:t>
      </w:r>
      <w:r w:rsidR="00FD7080" w:rsidRPr="00622335">
        <w:rPr>
          <w:rFonts w:eastAsia="Calibri"/>
          <w:szCs w:val="22"/>
          <w:lang w:val="en-GB" w:bidi="ar-SA"/>
        </w:rPr>
        <w:t>DHA-B</w:t>
      </w:r>
      <w:r w:rsidRPr="00622335">
        <w:rPr>
          <w:rFonts w:eastAsia="Calibri"/>
          <w:szCs w:val="22"/>
          <w:lang w:val="en-GB" w:bidi="ar-SA"/>
        </w:rPr>
        <w:t xml:space="preserve"> be added to </w:t>
      </w:r>
      <w:r w:rsidR="00200B76">
        <w:rPr>
          <w:rFonts w:eastAsia="Calibri"/>
          <w:szCs w:val="22"/>
          <w:lang w:val="en-GB" w:bidi="ar-SA"/>
        </w:rPr>
        <w:t>infant formula products</w:t>
      </w:r>
      <w:r w:rsidR="00200B76" w:rsidRPr="00622335">
        <w:rPr>
          <w:rFonts w:eastAsia="Calibri"/>
          <w:szCs w:val="22"/>
          <w:lang w:val="en-GB" w:bidi="ar-SA"/>
        </w:rPr>
        <w:t xml:space="preserve"> </w:t>
      </w:r>
      <w:r w:rsidRPr="00622335">
        <w:rPr>
          <w:rFonts w:eastAsia="Calibri"/>
          <w:szCs w:val="22"/>
          <w:lang w:val="en-GB" w:bidi="ar-SA"/>
        </w:rPr>
        <w:t xml:space="preserve">at </w:t>
      </w:r>
      <w:r w:rsidR="00825642" w:rsidRPr="00622335">
        <w:rPr>
          <w:rFonts w:eastAsia="Calibri"/>
          <w:szCs w:val="22"/>
          <w:lang w:val="en-GB" w:bidi="ar-SA"/>
        </w:rPr>
        <w:t xml:space="preserve">the current use </w:t>
      </w:r>
      <w:r w:rsidRPr="00622335">
        <w:rPr>
          <w:rFonts w:eastAsia="Calibri"/>
          <w:szCs w:val="22"/>
          <w:lang w:val="en-GB" w:bidi="ar-SA"/>
        </w:rPr>
        <w:t>level</w:t>
      </w:r>
      <w:r w:rsidR="00825642" w:rsidRPr="00622335">
        <w:rPr>
          <w:rFonts w:eastAsia="Calibri"/>
          <w:szCs w:val="22"/>
          <w:lang w:val="en-GB" w:bidi="ar-SA"/>
        </w:rPr>
        <w:t>s,</w:t>
      </w:r>
      <w:r w:rsidRPr="00622335">
        <w:rPr>
          <w:rFonts w:eastAsia="Calibri"/>
          <w:szCs w:val="22"/>
          <w:lang w:val="en-GB" w:bidi="ar-SA"/>
        </w:rPr>
        <w:t xml:space="preserve"> provid</w:t>
      </w:r>
      <w:r w:rsidR="00825642" w:rsidRPr="00622335">
        <w:rPr>
          <w:rFonts w:eastAsia="Calibri"/>
          <w:szCs w:val="22"/>
          <w:lang w:val="en-GB" w:bidi="ar-SA"/>
        </w:rPr>
        <w:t xml:space="preserve">ing </w:t>
      </w:r>
      <w:r w:rsidR="0088780D" w:rsidRPr="00622335">
        <w:rPr>
          <w:rFonts w:eastAsia="Calibri"/>
          <w:szCs w:val="22"/>
          <w:lang w:val="en-GB" w:bidi="ar-SA"/>
        </w:rPr>
        <w:t>n</w:t>
      </w:r>
      <w:r w:rsidRPr="00622335">
        <w:rPr>
          <w:rFonts w:eastAsia="Calibri"/>
          <w:szCs w:val="22"/>
          <w:lang w:val="en-GB" w:bidi="ar-SA"/>
        </w:rPr>
        <w:t>-3 LC</w:t>
      </w:r>
      <w:r w:rsidR="00DA54B5" w:rsidRPr="00622335">
        <w:rPr>
          <w:rFonts w:eastAsia="Calibri"/>
          <w:szCs w:val="22"/>
          <w:lang w:val="en-GB" w:bidi="ar-SA"/>
        </w:rPr>
        <w:t>-</w:t>
      </w:r>
      <w:r w:rsidRPr="00622335">
        <w:rPr>
          <w:rFonts w:eastAsia="Calibri"/>
          <w:szCs w:val="22"/>
          <w:lang w:val="en-GB" w:bidi="ar-SA"/>
        </w:rPr>
        <w:t>PUFA up to 1% total fat</w:t>
      </w:r>
      <w:r w:rsidR="00200B76">
        <w:rPr>
          <w:rFonts w:eastAsia="Calibri"/>
          <w:szCs w:val="22"/>
          <w:lang w:val="en-GB" w:bidi="ar-SA"/>
        </w:rPr>
        <w:t>ty acid</w:t>
      </w:r>
      <w:r w:rsidRPr="00622335">
        <w:rPr>
          <w:rFonts w:eastAsia="Calibri"/>
          <w:szCs w:val="22"/>
          <w:lang w:val="en-GB" w:bidi="ar-SA"/>
        </w:rPr>
        <w:t xml:space="preserve"> content of </w:t>
      </w:r>
      <w:r w:rsidR="00200B76">
        <w:rPr>
          <w:rFonts w:eastAsia="Calibri"/>
          <w:szCs w:val="22"/>
          <w:lang w:val="en-GB" w:bidi="ar-SA"/>
        </w:rPr>
        <w:t>infant formula products</w:t>
      </w:r>
      <w:r w:rsidRPr="00622335">
        <w:rPr>
          <w:rFonts w:eastAsia="Calibri"/>
          <w:szCs w:val="22"/>
          <w:lang w:val="en-GB" w:bidi="ar-SA"/>
        </w:rPr>
        <w:t xml:space="preserve">. </w:t>
      </w:r>
    </w:p>
    <w:p w14:paraId="0E363235" w14:textId="6AE19129" w:rsidR="00825642" w:rsidRPr="00622335" w:rsidRDefault="00825642" w:rsidP="00FD3A50">
      <w:pPr>
        <w:widowControl/>
        <w:tabs>
          <w:tab w:val="left" w:pos="993"/>
        </w:tabs>
        <w:rPr>
          <w:rFonts w:eastAsia="Calibri"/>
          <w:szCs w:val="22"/>
          <w:lang w:val="en-GB" w:bidi="ar-SA"/>
        </w:rPr>
      </w:pPr>
    </w:p>
    <w:p w14:paraId="10140081" w14:textId="77777777" w:rsidR="000771B9" w:rsidRPr="00622335" w:rsidRDefault="00825642" w:rsidP="00825642">
      <w:pPr>
        <w:rPr>
          <w:lang w:val="en-GB" w:eastAsia="en-AU" w:bidi="ar-SA"/>
        </w:rPr>
      </w:pPr>
      <w:r w:rsidRPr="00622335">
        <w:rPr>
          <w:lang w:val="en-GB" w:eastAsia="en-AU" w:bidi="ar-SA"/>
        </w:rPr>
        <w:t xml:space="preserve">The recent nutrition assessment from the recent Consultation Paper for Proposal </w:t>
      </w:r>
    </w:p>
    <w:p w14:paraId="3D3127BB" w14:textId="68ED8BDC" w:rsidR="00BE3399" w:rsidRDefault="00825642" w:rsidP="00825642">
      <w:pPr>
        <w:rPr>
          <w:lang w:val="en-GB" w:eastAsia="en-AU" w:bidi="ar-SA"/>
        </w:rPr>
      </w:pPr>
      <w:r w:rsidRPr="00622335">
        <w:rPr>
          <w:lang w:val="en-GB" w:eastAsia="en-AU" w:bidi="ar-SA"/>
        </w:rPr>
        <w:t xml:space="preserve">P1028 – Infant Formula considered the evidence of supplementation of DHA in infant formula products and concluded that there is no evidence that voluntary DHA addition poses a risk to infant health. </w:t>
      </w:r>
      <w:r w:rsidR="00BE3399">
        <w:rPr>
          <w:lang w:val="en-GB" w:eastAsia="en-AU" w:bidi="ar-SA"/>
        </w:rPr>
        <w:br w:type="page"/>
      </w:r>
    </w:p>
    <w:p w14:paraId="7EB340C1" w14:textId="77777777" w:rsidR="00FD3A50" w:rsidRPr="00FE490D" w:rsidRDefault="00FD3A50" w:rsidP="00F35DF1">
      <w:pPr>
        <w:pStyle w:val="Heading2"/>
      </w:pPr>
      <w:bookmarkStart w:id="13" w:name="_Toc464129761"/>
      <w:r w:rsidRPr="00FE490D">
        <w:lastRenderedPageBreak/>
        <w:t>1.3</w:t>
      </w:r>
      <w:r w:rsidRPr="00FE490D">
        <w:tab/>
        <w:t>Risk assessment questions</w:t>
      </w:r>
      <w:bookmarkEnd w:id="13"/>
      <w:r w:rsidRPr="00FE490D">
        <w:t xml:space="preserve"> </w:t>
      </w:r>
    </w:p>
    <w:p w14:paraId="3DC81743" w14:textId="77777777" w:rsidR="00FD3A50" w:rsidRPr="00622335" w:rsidRDefault="00FD3A50" w:rsidP="00622335">
      <w:pPr>
        <w:keepNext/>
        <w:keepLines/>
        <w:rPr>
          <w:lang w:val="en-GB"/>
        </w:rPr>
      </w:pPr>
      <w:r w:rsidRPr="00622335">
        <w:rPr>
          <w:lang w:val="en-GB"/>
        </w:rPr>
        <w:t>The following key questions were posed:</w:t>
      </w:r>
    </w:p>
    <w:p w14:paraId="40313597" w14:textId="77777777" w:rsidR="00FD3A50" w:rsidRPr="00622335" w:rsidRDefault="00FD3A50" w:rsidP="00622335">
      <w:pPr>
        <w:keepNext/>
        <w:keepLines/>
        <w:rPr>
          <w:lang w:val="en-GB"/>
        </w:rPr>
      </w:pPr>
    </w:p>
    <w:p w14:paraId="77D0B3F3" w14:textId="5CFCA65A" w:rsidR="00DA54B5" w:rsidRPr="00622335" w:rsidRDefault="00DA54B5" w:rsidP="00A25545">
      <w:pPr>
        <w:pStyle w:val="FSBullet1"/>
        <w:ind w:left="567"/>
        <w:rPr>
          <w:lang w:val="en-GB"/>
        </w:rPr>
      </w:pPr>
      <w:r w:rsidRPr="00622335">
        <w:rPr>
          <w:lang w:val="en-GB"/>
        </w:rPr>
        <w:t>What is the stability of th</w:t>
      </w:r>
      <w:r w:rsidR="00F3019F" w:rsidRPr="00622335">
        <w:rPr>
          <w:lang w:val="en-GB"/>
        </w:rPr>
        <w:t xml:space="preserve">is </w:t>
      </w:r>
      <w:r w:rsidRPr="00622335">
        <w:rPr>
          <w:lang w:val="en-GB"/>
        </w:rPr>
        <w:t>DHA-rich oil during under recommended storage conditions and shelf life</w:t>
      </w:r>
      <w:r w:rsidR="000C0504" w:rsidRPr="00622335">
        <w:rPr>
          <w:lang w:val="en-GB"/>
        </w:rPr>
        <w:t>?</w:t>
      </w:r>
      <w:r w:rsidRPr="00622335">
        <w:rPr>
          <w:lang w:val="en-GB"/>
        </w:rPr>
        <w:t xml:space="preserve"> </w:t>
      </w:r>
      <w:r w:rsidR="000C0504" w:rsidRPr="00622335">
        <w:rPr>
          <w:lang w:val="en-GB"/>
        </w:rPr>
        <w:t>What</w:t>
      </w:r>
      <w:r w:rsidRPr="00622335">
        <w:rPr>
          <w:lang w:val="en-GB"/>
        </w:rPr>
        <w:t xml:space="preserve"> are the consequences of improper storage, such that may lead to oxidation and production of radicals and peroxide?</w:t>
      </w:r>
    </w:p>
    <w:p w14:paraId="5501085C" w14:textId="77777777" w:rsidR="00DA54B5" w:rsidRPr="00622335" w:rsidRDefault="00DA54B5" w:rsidP="00A25545">
      <w:pPr>
        <w:ind w:left="567" w:hanging="567"/>
        <w:rPr>
          <w:lang w:val="en-GB" w:bidi="ar-SA"/>
        </w:rPr>
      </w:pPr>
    </w:p>
    <w:p w14:paraId="3AE1A9F0" w14:textId="12E07DFA" w:rsidR="00FD3A50" w:rsidRPr="00622335" w:rsidRDefault="00FD3A50" w:rsidP="00A25545">
      <w:pPr>
        <w:pStyle w:val="FSBullet1"/>
        <w:ind w:left="567"/>
        <w:rPr>
          <w:lang w:val="en-GB"/>
        </w:rPr>
      </w:pPr>
      <w:r w:rsidRPr="00622335">
        <w:rPr>
          <w:lang w:val="en-GB"/>
        </w:rPr>
        <w:t>What are the risks, if any, from the use of Schizochytrium sp</w:t>
      </w:r>
      <w:r w:rsidR="00B21591" w:rsidRPr="00622335">
        <w:rPr>
          <w:lang w:val="en-GB"/>
        </w:rPr>
        <w:t>.</w:t>
      </w:r>
      <w:r w:rsidRPr="00622335">
        <w:rPr>
          <w:lang w:val="en-GB"/>
        </w:rPr>
        <w:t xml:space="preserve"> (ATCC-PTA-9695) to produce oil? </w:t>
      </w:r>
    </w:p>
    <w:p w14:paraId="7E412BFC" w14:textId="77777777" w:rsidR="00FD3A50" w:rsidRPr="00622335" w:rsidRDefault="00FD3A50" w:rsidP="00A25545">
      <w:pPr>
        <w:pStyle w:val="FSBullet1"/>
        <w:numPr>
          <w:ilvl w:val="0"/>
          <w:numId w:val="0"/>
        </w:numPr>
        <w:ind w:left="567" w:hanging="567"/>
        <w:rPr>
          <w:lang w:val="en-GB"/>
        </w:rPr>
      </w:pPr>
    </w:p>
    <w:p w14:paraId="25414D8C" w14:textId="67564905" w:rsidR="00FD3A50" w:rsidRPr="00622335" w:rsidRDefault="00DA54B5" w:rsidP="00A25545">
      <w:pPr>
        <w:pStyle w:val="FSBullet1"/>
        <w:ind w:left="567"/>
        <w:rPr>
          <w:lang w:val="en-GB"/>
        </w:rPr>
      </w:pPr>
      <w:r w:rsidRPr="00622335">
        <w:rPr>
          <w:lang w:val="en-GB"/>
        </w:rPr>
        <w:t xml:space="preserve">Does use of </w:t>
      </w:r>
      <w:r w:rsidR="00F3019F" w:rsidRPr="00622335">
        <w:rPr>
          <w:lang w:val="en-GB"/>
        </w:rPr>
        <w:t>this oil i</w:t>
      </w:r>
      <w:r w:rsidRPr="00622335">
        <w:rPr>
          <w:lang w:val="en-GB"/>
        </w:rPr>
        <w:t>n infant formula at the proposed use levels pose a risk to infant health?</w:t>
      </w:r>
    </w:p>
    <w:p w14:paraId="5548B605" w14:textId="77777777" w:rsidR="00FD3A50" w:rsidRPr="00622335" w:rsidRDefault="00FD3A50" w:rsidP="00A25545">
      <w:pPr>
        <w:pStyle w:val="FSBullet1"/>
        <w:numPr>
          <w:ilvl w:val="0"/>
          <w:numId w:val="0"/>
        </w:numPr>
        <w:ind w:left="567" w:hanging="567"/>
        <w:rPr>
          <w:lang w:val="en-GB"/>
        </w:rPr>
      </w:pPr>
    </w:p>
    <w:p w14:paraId="617BC690" w14:textId="45150E83" w:rsidR="00FD3A50" w:rsidRPr="00622335" w:rsidRDefault="00FD3A50" w:rsidP="00A25545">
      <w:pPr>
        <w:pStyle w:val="FSBullet1"/>
        <w:ind w:left="567"/>
        <w:rPr>
          <w:lang w:val="en-GB"/>
        </w:rPr>
      </w:pPr>
      <w:r w:rsidRPr="00622335">
        <w:rPr>
          <w:lang w:val="en-GB"/>
        </w:rPr>
        <w:t xml:space="preserve">How does the composition of </w:t>
      </w:r>
      <w:r w:rsidR="00FD7080" w:rsidRPr="00622335">
        <w:rPr>
          <w:lang w:val="en-GB"/>
        </w:rPr>
        <w:t>DHA-B</w:t>
      </w:r>
      <w:r w:rsidRPr="00622335">
        <w:rPr>
          <w:lang w:val="en-GB"/>
        </w:rPr>
        <w:t xml:space="preserve"> compare to other currently permitted DHA-rich micro-algal oils?</w:t>
      </w:r>
    </w:p>
    <w:p w14:paraId="647D7FF7" w14:textId="77777777" w:rsidR="00FD3A50" w:rsidRPr="00622335" w:rsidRDefault="00FD3A50" w:rsidP="00A25545">
      <w:pPr>
        <w:ind w:left="567" w:hanging="567"/>
        <w:rPr>
          <w:lang w:val="en-GB"/>
        </w:rPr>
      </w:pPr>
    </w:p>
    <w:p w14:paraId="3DA31806" w14:textId="34DB0ABC" w:rsidR="00FD3A50" w:rsidRDefault="00FD3A50" w:rsidP="00A25545">
      <w:pPr>
        <w:pStyle w:val="FSBullet1"/>
        <w:ind w:left="567"/>
        <w:rPr>
          <w:lang w:val="en-GB"/>
        </w:rPr>
      </w:pPr>
      <w:r w:rsidRPr="00622335">
        <w:rPr>
          <w:lang w:val="en-GB"/>
        </w:rPr>
        <w:t xml:space="preserve">Is the use of </w:t>
      </w:r>
      <w:r w:rsidRPr="00622335">
        <w:rPr>
          <w:lang w:val="en-GB" w:eastAsia="en-AU"/>
        </w:rPr>
        <w:t>DHA-B</w:t>
      </w:r>
      <w:r w:rsidRPr="00622335">
        <w:rPr>
          <w:lang w:val="en-GB"/>
        </w:rPr>
        <w:t xml:space="preserve"> in infant formula products as the source of DHA equivalent to the use of other permitted DHA rich oils in infant formula products in relation to: </w:t>
      </w:r>
    </w:p>
    <w:p w14:paraId="3BD90629" w14:textId="77777777" w:rsidR="00BE3399" w:rsidRPr="00BE3399" w:rsidRDefault="00BE3399" w:rsidP="00BE3399">
      <w:pPr>
        <w:rPr>
          <w:lang w:val="en-GB" w:bidi="ar-SA"/>
        </w:rPr>
      </w:pPr>
    </w:p>
    <w:p w14:paraId="34DD6A3C" w14:textId="7F2D0976" w:rsidR="00FD3A50" w:rsidRPr="00BE3399" w:rsidRDefault="00FD3A50" w:rsidP="00BE3399">
      <w:pPr>
        <w:pStyle w:val="FSBullet2"/>
      </w:pPr>
      <w:r w:rsidRPr="00622335">
        <w:rPr>
          <w:lang w:val="en-GB"/>
        </w:rPr>
        <w:t>absorption an</w:t>
      </w:r>
      <w:r w:rsidRPr="00BE3399">
        <w:t>d metabolism as a source of available DHA for infants</w:t>
      </w:r>
    </w:p>
    <w:p w14:paraId="2D414149" w14:textId="50C386CA" w:rsidR="00FD3A50" w:rsidRPr="00622335" w:rsidRDefault="00FD3A50" w:rsidP="00BE3399">
      <w:pPr>
        <w:pStyle w:val="FSBullet2"/>
        <w:rPr>
          <w:lang w:val="en-GB" w:eastAsia="en-AU"/>
        </w:rPr>
      </w:pPr>
      <w:r w:rsidRPr="00BE3399">
        <w:t>normal growt</w:t>
      </w:r>
      <w:r w:rsidRPr="00622335">
        <w:rPr>
          <w:lang w:val="en-GB"/>
        </w:rPr>
        <w:t>h and development of infants</w:t>
      </w:r>
      <w:r w:rsidR="00622335">
        <w:rPr>
          <w:lang w:val="en-GB"/>
        </w:rPr>
        <w:t>.</w:t>
      </w:r>
    </w:p>
    <w:p w14:paraId="08358B5E" w14:textId="3ED9F78F" w:rsidR="002B507B" w:rsidRPr="00622335" w:rsidRDefault="00DE363B" w:rsidP="00A25545">
      <w:pPr>
        <w:pStyle w:val="Heading1"/>
        <w:rPr>
          <w:lang w:val="en-GB"/>
        </w:rPr>
      </w:pPr>
      <w:bookmarkStart w:id="14" w:name="_Toc457821665"/>
      <w:bookmarkStart w:id="15" w:name="_Toc464129762"/>
      <w:r w:rsidRPr="00622335">
        <w:rPr>
          <w:lang w:val="en-GB"/>
        </w:rPr>
        <w:t xml:space="preserve">2 </w:t>
      </w:r>
      <w:bookmarkStart w:id="16" w:name="_Toc457821681"/>
      <w:bookmarkStart w:id="17" w:name="_Toc456609495"/>
      <w:bookmarkEnd w:id="14"/>
      <w:r w:rsidR="005757A0" w:rsidRPr="00622335">
        <w:rPr>
          <w:lang w:val="en-GB"/>
        </w:rPr>
        <w:tab/>
      </w:r>
      <w:r w:rsidR="00BE3399">
        <w:rPr>
          <w:lang w:val="en-GB"/>
        </w:rPr>
        <w:t>Food technology a</w:t>
      </w:r>
      <w:r w:rsidR="002B507B" w:rsidRPr="00622335">
        <w:rPr>
          <w:lang w:val="en-GB"/>
        </w:rPr>
        <w:t>ssessment</w:t>
      </w:r>
      <w:bookmarkEnd w:id="15"/>
    </w:p>
    <w:p w14:paraId="44066E2A" w14:textId="201339C4" w:rsidR="002B507B" w:rsidRPr="00A76FA6" w:rsidRDefault="002B507B" w:rsidP="00CB73A8">
      <w:pPr>
        <w:pStyle w:val="Heading2"/>
      </w:pPr>
      <w:bookmarkStart w:id="18" w:name="_Toc464129763"/>
      <w:r w:rsidRPr="00FE490D">
        <w:t>2.1</w:t>
      </w:r>
      <w:r w:rsidRPr="00FE490D">
        <w:tab/>
        <w:t>Identity</w:t>
      </w:r>
      <w:r w:rsidR="00EF33F5" w:rsidRPr="00A76FA6">
        <w:t xml:space="preserve"> of the oil</w:t>
      </w:r>
      <w:bookmarkEnd w:id="18"/>
      <w:r w:rsidR="00EF33F5" w:rsidRPr="00A76FA6">
        <w:t xml:space="preserve"> </w:t>
      </w:r>
    </w:p>
    <w:p w14:paraId="45BD18B3" w14:textId="007A0FB1" w:rsidR="002B507B" w:rsidRPr="00622335" w:rsidRDefault="00194445" w:rsidP="002B507B">
      <w:pPr>
        <w:rPr>
          <w:rFonts w:eastAsia="Calibri"/>
          <w:lang w:val="en-GB" w:bidi="ar-SA"/>
        </w:rPr>
      </w:pPr>
      <w:r w:rsidRPr="00622335">
        <w:rPr>
          <w:rFonts w:eastAsia="Calibri"/>
          <w:lang w:val="en-GB" w:bidi="ar-SA"/>
        </w:rPr>
        <w:t xml:space="preserve">DHA-B is a free flowing, light yellow-orange oil, comprised of oil extracted from the micro-algae </w:t>
      </w:r>
      <w:r w:rsidRPr="00622335">
        <w:rPr>
          <w:rFonts w:eastAsia="Calibri"/>
          <w:i/>
          <w:lang w:val="en-GB" w:bidi="ar-SA"/>
        </w:rPr>
        <w:t xml:space="preserve">Schizochytrium </w:t>
      </w:r>
      <w:r w:rsidRPr="00622335">
        <w:rPr>
          <w:rFonts w:eastAsia="Calibri"/>
          <w:lang w:val="en-GB" w:bidi="ar-SA"/>
        </w:rPr>
        <w:t>sp. DHA-B is predominantly triglyceride in composition, along with some monoglyceride, diglyceride and non</w:t>
      </w:r>
      <w:r>
        <w:rPr>
          <w:rFonts w:eastAsia="Calibri"/>
          <w:lang w:val="en-GB" w:bidi="ar-SA"/>
        </w:rPr>
        <w:t>-</w:t>
      </w:r>
      <w:r w:rsidRPr="00622335">
        <w:rPr>
          <w:rFonts w:eastAsia="Calibri"/>
          <w:lang w:val="en-GB" w:bidi="ar-SA"/>
        </w:rPr>
        <w:t xml:space="preserve">saponifiable material (essentially identified and unidentified sterols), as is typical for food-grade vegetable oils. </w:t>
      </w:r>
      <w:r w:rsidR="002B507B" w:rsidRPr="00622335">
        <w:rPr>
          <w:rFonts w:eastAsia="Calibri"/>
          <w:lang w:val="en-GB" w:bidi="ar-SA"/>
        </w:rPr>
        <w:t>The oil contains approximately 40% DHA by weight.</w:t>
      </w:r>
    </w:p>
    <w:p w14:paraId="026963E5" w14:textId="77777777" w:rsidR="002B507B" w:rsidRPr="00622335" w:rsidRDefault="002B507B" w:rsidP="002B507B">
      <w:pPr>
        <w:rPr>
          <w:rFonts w:eastAsia="Calibri"/>
          <w:lang w:val="en-GB" w:bidi="ar-SA"/>
        </w:rPr>
      </w:pPr>
    </w:p>
    <w:p w14:paraId="4C1889D9" w14:textId="2118E33A" w:rsidR="00EF33F5" w:rsidRPr="00622335" w:rsidRDefault="00D85B16" w:rsidP="002B507B">
      <w:pPr>
        <w:rPr>
          <w:rFonts w:eastAsia="Calibri"/>
          <w:lang w:val="en-GB" w:bidi="ar-SA"/>
        </w:rPr>
      </w:pPr>
      <w:r w:rsidRPr="00622335">
        <w:rPr>
          <w:rFonts w:eastAsia="Calibri"/>
          <w:lang w:val="en-GB" w:bidi="ar-SA"/>
        </w:rPr>
        <w:t>DHA-B</w:t>
      </w:r>
      <w:r w:rsidR="002B507B" w:rsidRPr="00622335">
        <w:rPr>
          <w:rFonts w:eastAsia="Calibri"/>
          <w:lang w:val="en-GB" w:bidi="ar-SA"/>
        </w:rPr>
        <w:t xml:space="preserve"> is insoluble in water, however is soluble in non-polar organic solvents (e.g. hexane) and partially soluble in polar organic solvents (e.g. ethanol). It has a characteristic </w:t>
      </w:r>
      <w:r w:rsidR="00200B76">
        <w:rPr>
          <w:rFonts w:eastAsia="Calibri"/>
          <w:lang w:val="en-GB" w:bidi="ar-SA"/>
        </w:rPr>
        <w:t>‘</w:t>
      </w:r>
      <w:r w:rsidR="002B507B" w:rsidRPr="00622335">
        <w:rPr>
          <w:rFonts w:eastAsia="Calibri"/>
          <w:lang w:val="en-GB" w:bidi="ar-SA"/>
        </w:rPr>
        <w:t>marine</w:t>
      </w:r>
      <w:r w:rsidR="00200B76">
        <w:rPr>
          <w:rFonts w:eastAsia="Calibri"/>
          <w:lang w:val="en-GB" w:bidi="ar-SA"/>
        </w:rPr>
        <w:t>’</w:t>
      </w:r>
      <w:r w:rsidR="002B507B" w:rsidRPr="00622335">
        <w:rPr>
          <w:rFonts w:eastAsia="Calibri"/>
          <w:lang w:val="en-GB" w:bidi="ar-SA"/>
        </w:rPr>
        <w:t xml:space="preserve"> odour and has a melting point/range of &lt; 10</w:t>
      </w:r>
      <w:r w:rsidR="002B507B" w:rsidRPr="00622335">
        <w:rPr>
          <w:rFonts w:eastAsia="Calibri" w:cs="Arial"/>
          <w:vertAlign w:val="superscript"/>
          <w:lang w:val="en-GB" w:bidi="ar-SA"/>
        </w:rPr>
        <w:t>°</w:t>
      </w:r>
      <w:r w:rsidR="002B507B" w:rsidRPr="00622335">
        <w:rPr>
          <w:rFonts w:eastAsia="Calibri"/>
          <w:lang w:val="en-GB" w:bidi="ar-SA"/>
        </w:rPr>
        <w:t>C.</w:t>
      </w:r>
    </w:p>
    <w:p w14:paraId="0FFB8288" w14:textId="77777777" w:rsidR="00EF33F5" w:rsidRPr="00622335" w:rsidRDefault="00EF33F5" w:rsidP="00EF33F5">
      <w:pPr>
        <w:pStyle w:val="Heading2"/>
        <w:rPr>
          <w:rFonts w:eastAsia="Calibri"/>
        </w:rPr>
      </w:pPr>
      <w:bookmarkStart w:id="19" w:name="_Toc464129764"/>
      <w:r w:rsidRPr="00FE490D">
        <w:t>2.1</w:t>
      </w:r>
      <w:r w:rsidRPr="00FE490D">
        <w:tab/>
        <w:t xml:space="preserve">Identity of the </w:t>
      </w:r>
      <w:r w:rsidRPr="00622335">
        <w:rPr>
          <w:rFonts w:eastAsia="Calibri"/>
        </w:rPr>
        <w:t>micro-algal strain</w:t>
      </w:r>
      <w:bookmarkEnd w:id="19"/>
      <w:r w:rsidRPr="00622335">
        <w:rPr>
          <w:rFonts w:eastAsia="Calibri"/>
        </w:rPr>
        <w:t xml:space="preserve"> </w:t>
      </w:r>
    </w:p>
    <w:p w14:paraId="2D03E1D1" w14:textId="77777777" w:rsidR="00A25545" w:rsidRDefault="002B507B" w:rsidP="00A25545">
      <w:pPr>
        <w:rPr>
          <w:rFonts w:eastAsia="Calibri"/>
          <w:szCs w:val="22"/>
          <w:lang w:val="en-GB" w:bidi="ar-SA"/>
        </w:rPr>
      </w:pPr>
      <w:r w:rsidRPr="00622335">
        <w:rPr>
          <w:rFonts w:eastAsia="Calibri"/>
          <w:lang w:val="en-GB"/>
        </w:rPr>
        <w:t xml:space="preserve">The </w:t>
      </w:r>
      <w:r w:rsidR="00EF33F5" w:rsidRPr="00622335">
        <w:rPr>
          <w:rFonts w:eastAsia="Calibri"/>
          <w:lang w:val="en-GB"/>
        </w:rPr>
        <w:t>micro-</w:t>
      </w:r>
      <w:r w:rsidRPr="00622335">
        <w:rPr>
          <w:rFonts w:eastAsia="Calibri"/>
          <w:lang w:val="en-GB"/>
        </w:rPr>
        <w:t xml:space="preserve">algal </w:t>
      </w:r>
      <w:r w:rsidR="00F3019F" w:rsidRPr="00622335">
        <w:rPr>
          <w:rFonts w:eastAsia="Calibri"/>
          <w:lang w:val="en-GB"/>
        </w:rPr>
        <w:t xml:space="preserve">strain </w:t>
      </w:r>
      <w:r w:rsidRPr="00622335">
        <w:rPr>
          <w:rFonts w:eastAsia="Calibri"/>
          <w:i/>
          <w:lang w:val="en-GB"/>
        </w:rPr>
        <w:t xml:space="preserve">Schizochytrium </w:t>
      </w:r>
      <w:r w:rsidRPr="00622335">
        <w:rPr>
          <w:rFonts w:eastAsia="Calibri"/>
          <w:lang w:val="en-GB"/>
        </w:rPr>
        <w:t>sp</w:t>
      </w:r>
      <w:r w:rsidR="00B21591" w:rsidRPr="00622335">
        <w:rPr>
          <w:rFonts w:eastAsia="Calibri"/>
          <w:lang w:val="en-GB"/>
        </w:rPr>
        <w:t>.</w:t>
      </w:r>
      <w:r w:rsidRPr="00622335">
        <w:rPr>
          <w:rFonts w:eastAsia="Calibri"/>
          <w:lang w:val="en-GB"/>
        </w:rPr>
        <w:t xml:space="preserve"> </w:t>
      </w:r>
      <w:r w:rsidR="00F3019F" w:rsidRPr="00622335">
        <w:rPr>
          <w:rFonts w:eastAsia="Calibri"/>
          <w:lang w:val="en-GB"/>
        </w:rPr>
        <w:t xml:space="preserve">(ATCC PTA-9696) </w:t>
      </w:r>
      <w:r w:rsidRPr="00622335">
        <w:rPr>
          <w:rFonts w:eastAsia="Calibri"/>
          <w:lang w:val="en-GB"/>
        </w:rPr>
        <w:t xml:space="preserve">from which </w:t>
      </w:r>
      <w:r w:rsidR="00D85B16" w:rsidRPr="00622335">
        <w:rPr>
          <w:rFonts w:eastAsia="Calibri"/>
          <w:lang w:val="en-GB"/>
        </w:rPr>
        <w:t>DHA-B</w:t>
      </w:r>
      <w:r w:rsidRPr="00622335">
        <w:rPr>
          <w:rFonts w:eastAsia="Calibri"/>
          <w:lang w:val="en-GB"/>
        </w:rPr>
        <w:t xml:space="preserve"> is derived is not a genetically modified organism (GMO).</w:t>
      </w:r>
      <w:r w:rsidR="00A25545">
        <w:rPr>
          <w:rFonts w:eastAsia="Calibri"/>
          <w:lang w:val="en-GB"/>
        </w:rPr>
        <w:t xml:space="preserve"> </w:t>
      </w:r>
      <w:r w:rsidRPr="00622335">
        <w:rPr>
          <w:rFonts w:eastAsia="Calibri"/>
          <w:szCs w:val="22"/>
          <w:lang w:val="en-GB" w:bidi="ar-SA"/>
        </w:rPr>
        <w:t>The taxonomy for the source micro</w:t>
      </w:r>
      <w:r w:rsidR="0045057C" w:rsidRPr="00622335">
        <w:rPr>
          <w:rFonts w:eastAsia="Calibri"/>
          <w:szCs w:val="22"/>
          <w:lang w:val="en-GB" w:bidi="ar-SA"/>
        </w:rPr>
        <w:t>-</w:t>
      </w:r>
      <w:r w:rsidRPr="00622335">
        <w:rPr>
          <w:rFonts w:eastAsia="Calibri"/>
          <w:szCs w:val="22"/>
          <w:lang w:val="en-GB" w:bidi="ar-SA"/>
        </w:rPr>
        <w:t xml:space="preserve">algae for </w:t>
      </w:r>
      <w:r w:rsidR="00D85B16" w:rsidRPr="00622335">
        <w:rPr>
          <w:rFonts w:eastAsia="Calibri"/>
          <w:szCs w:val="22"/>
          <w:lang w:val="en-GB" w:bidi="ar-SA"/>
        </w:rPr>
        <w:t>DHA-B</w:t>
      </w:r>
      <w:r w:rsidRPr="00622335">
        <w:rPr>
          <w:rFonts w:eastAsia="Calibri"/>
          <w:szCs w:val="22"/>
          <w:lang w:val="en-GB" w:bidi="ar-SA"/>
        </w:rPr>
        <w:t xml:space="preserve"> is as follows:</w:t>
      </w:r>
    </w:p>
    <w:p w14:paraId="33DC0B3E" w14:textId="77777777" w:rsidR="00A25545" w:rsidRDefault="00A25545" w:rsidP="00A25545">
      <w:pPr>
        <w:rPr>
          <w:rFonts w:eastAsia="Calibri"/>
          <w:szCs w:val="22"/>
          <w:lang w:val="en-GB" w:bidi="ar-SA"/>
        </w:rPr>
      </w:pPr>
    </w:p>
    <w:p w14:paraId="75E7F15F" w14:textId="77777777" w:rsidR="00A25545" w:rsidRDefault="002B507B" w:rsidP="00A25545">
      <w:pPr>
        <w:keepNext/>
        <w:keepLines/>
        <w:widowControl/>
        <w:ind w:left="567"/>
        <w:rPr>
          <w:rFonts w:eastAsia="Calibri"/>
          <w:szCs w:val="22"/>
          <w:lang w:val="en-GB" w:bidi="ar-SA"/>
        </w:rPr>
      </w:pPr>
      <w:r w:rsidRPr="00622335">
        <w:rPr>
          <w:rFonts w:eastAsia="Calibri"/>
          <w:szCs w:val="22"/>
          <w:lang w:val="en-GB" w:bidi="ar-SA"/>
        </w:rPr>
        <w:t>Kingdom – Chromista (Stramenopilia)</w:t>
      </w:r>
      <w:r w:rsidR="00A25545" w:rsidRPr="00A25545">
        <w:rPr>
          <w:rFonts w:eastAsia="Calibri"/>
          <w:szCs w:val="22"/>
          <w:lang w:val="en-GB" w:bidi="ar-SA"/>
        </w:rPr>
        <w:t xml:space="preserve"> </w:t>
      </w:r>
    </w:p>
    <w:p w14:paraId="42F8523B" w14:textId="5E23CA89" w:rsidR="00A25545" w:rsidRPr="00622335" w:rsidRDefault="00A25545" w:rsidP="00A25545">
      <w:pPr>
        <w:keepNext/>
        <w:keepLines/>
        <w:widowControl/>
        <w:ind w:left="567"/>
        <w:rPr>
          <w:rFonts w:eastAsia="Calibri"/>
          <w:szCs w:val="22"/>
          <w:lang w:val="en-GB" w:bidi="ar-SA"/>
        </w:rPr>
      </w:pPr>
      <w:r w:rsidRPr="00622335">
        <w:rPr>
          <w:rFonts w:eastAsia="Calibri"/>
          <w:szCs w:val="22"/>
          <w:lang w:val="en-GB" w:bidi="ar-SA"/>
        </w:rPr>
        <w:t>Phylum – Heterokonta</w:t>
      </w:r>
    </w:p>
    <w:p w14:paraId="4B7777AD" w14:textId="77777777" w:rsidR="00A25545" w:rsidRPr="00622335" w:rsidRDefault="00A25545" w:rsidP="00A25545">
      <w:pPr>
        <w:keepNext/>
        <w:keepLines/>
        <w:widowControl/>
        <w:ind w:left="567"/>
        <w:rPr>
          <w:rFonts w:eastAsia="Calibri"/>
          <w:szCs w:val="22"/>
          <w:lang w:val="en-GB" w:bidi="ar-SA"/>
        </w:rPr>
      </w:pPr>
      <w:r w:rsidRPr="00622335">
        <w:rPr>
          <w:rFonts w:eastAsia="Calibri"/>
          <w:szCs w:val="22"/>
          <w:lang w:val="en-GB" w:bidi="ar-SA"/>
        </w:rPr>
        <w:t>Class – Thaustochytridae</w:t>
      </w:r>
    </w:p>
    <w:p w14:paraId="4137044F" w14:textId="77777777" w:rsidR="00A25545" w:rsidRPr="00622335" w:rsidRDefault="00A25545" w:rsidP="00A25545">
      <w:pPr>
        <w:keepNext/>
        <w:keepLines/>
        <w:widowControl/>
        <w:ind w:left="567"/>
        <w:rPr>
          <w:rFonts w:eastAsia="Calibri"/>
          <w:szCs w:val="22"/>
          <w:lang w:val="en-GB" w:bidi="ar-SA"/>
        </w:rPr>
      </w:pPr>
      <w:r w:rsidRPr="00622335">
        <w:rPr>
          <w:rFonts w:eastAsia="Calibri"/>
          <w:szCs w:val="22"/>
          <w:lang w:val="en-GB" w:bidi="ar-SA"/>
        </w:rPr>
        <w:t>Order – Thaustochytriales</w:t>
      </w:r>
    </w:p>
    <w:p w14:paraId="76AD2A14" w14:textId="77777777" w:rsidR="00A25545" w:rsidRPr="00622335" w:rsidRDefault="00A25545" w:rsidP="00A25545">
      <w:pPr>
        <w:keepNext/>
        <w:keepLines/>
        <w:widowControl/>
        <w:ind w:left="567"/>
        <w:rPr>
          <w:rFonts w:eastAsia="Calibri"/>
          <w:szCs w:val="22"/>
          <w:lang w:val="en-GB" w:bidi="ar-SA"/>
        </w:rPr>
      </w:pPr>
      <w:r w:rsidRPr="00622335">
        <w:rPr>
          <w:rFonts w:eastAsia="Calibri"/>
          <w:szCs w:val="22"/>
          <w:lang w:val="en-GB" w:bidi="ar-SA"/>
        </w:rPr>
        <w:t>Family – Thaustochytridriaceae</w:t>
      </w:r>
    </w:p>
    <w:p w14:paraId="6C344A3B" w14:textId="77777777" w:rsidR="00A25545" w:rsidRPr="00622335" w:rsidRDefault="00A25545" w:rsidP="00A25545">
      <w:pPr>
        <w:keepNext/>
        <w:keepLines/>
        <w:widowControl/>
        <w:ind w:left="567"/>
        <w:rPr>
          <w:rFonts w:eastAsia="Calibri"/>
          <w:szCs w:val="22"/>
          <w:lang w:val="en-GB" w:bidi="ar-SA"/>
        </w:rPr>
      </w:pPr>
      <w:r w:rsidRPr="00622335">
        <w:rPr>
          <w:rFonts w:eastAsia="Calibri"/>
          <w:szCs w:val="22"/>
          <w:lang w:val="en-GB" w:bidi="ar-SA"/>
        </w:rPr>
        <w:t xml:space="preserve">Genus – </w:t>
      </w:r>
      <w:r w:rsidRPr="00BE3399">
        <w:rPr>
          <w:rFonts w:eastAsia="Calibri"/>
          <w:i/>
          <w:szCs w:val="22"/>
          <w:lang w:val="en-GB" w:bidi="ar-SA"/>
        </w:rPr>
        <w:t>Schizochytrium</w:t>
      </w:r>
    </w:p>
    <w:p w14:paraId="07FC8272" w14:textId="08FAE03A" w:rsidR="002B507B" w:rsidRPr="00622335" w:rsidRDefault="002B507B" w:rsidP="00A25545">
      <w:pPr>
        <w:rPr>
          <w:rFonts w:eastAsia="Calibri"/>
          <w:szCs w:val="22"/>
          <w:lang w:val="en-GB" w:bidi="ar-SA"/>
        </w:rPr>
      </w:pPr>
    </w:p>
    <w:p w14:paraId="47A8668F" w14:textId="77777777" w:rsidR="00BE3399" w:rsidRDefault="00BE3399" w:rsidP="00CB73A8">
      <w:pPr>
        <w:pStyle w:val="Heading2"/>
      </w:pPr>
      <w:bookmarkStart w:id="20" w:name="_Toc464129765"/>
      <w:r>
        <w:br w:type="page"/>
      </w:r>
    </w:p>
    <w:p w14:paraId="03E98E69" w14:textId="39E95681" w:rsidR="002B507B" w:rsidRPr="00A76FA6" w:rsidRDefault="002B507B" w:rsidP="00CB73A8">
      <w:pPr>
        <w:pStyle w:val="Heading2"/>
      </w:pPr>
      <w:r w:rsidRPr="00FE490D">
        <w:lastRenderedPageBreak/>
        <w:t>2.2</w:t>
      </w:r>
      <w:r w:rsidRPr="00FE490D">
        <w:tab/>
        <w:t>Chemical properties</w:t>
      </w:r>
      <w:r w:rsidR="0029539A" w:rsidRPr="00A76FA6">
        <w:t xml:space="preserve"> of the oil</w:t>
      </w:r>
      <w:bookmarkEnd w:id="20"/>
    </w:p>
    <w:p w14:paraId="32090B9E" w14:textId="0D1D85C5" w:rsidR="002B507B" w:rsidRPr="00622335" w:rsidRDefault="002B507B" w:rsidP="00BE3399">
      <w:pPr>
        <w:pStyle w:val="Heading3"/>
        <w:keepNext w:val="0"/>
        <w:rPr>
          <w:lang w:val="en-GB"/>
        </w:rPr>
      </w:pPr>
      <w:bookmarkStart w:id="21" w:name="_Toc460581674"/>
      <w:bookmarkStart w:id="22" w:name="_Toc464129766"/>
      <w:r w:rsidRPr="00622335">
        <w:rPr>
          <w:lang w:val="en-GB"/>
        </w:rPr>
        <w:t xml:space="preserve">2.2.1 </w:t>
      </w:r>
      <w:r w:rsidR="00FE490D">
        <w:rPr>
          <w:lang w:val="en-GB"/>
        </w:rPr>
        <w:tab/>
      </w:r>
      <w:r w:rsidRPr="00622335">
        <w:rPr>
          <w:lang w:val="en-GB"/>
        </w:rPr>
        <w:t>Chemical name, identification and structure</w:t>
      </w:r>
      <w:bookmarkEnd w:id="21"/>
      <w:bookmarkEnd w:id="22"/>
    </w:p>
    <w:p w14:paraId="3D6D8EC6" w14:textId="77777777" w:rsidR="00FD3A50" w:rsidRPr="00622335" w:rsidRDefault="00FD3A50" w:rsidP="00FD3A50">
      <w:pPr>
        <w:rPr>
          <w:lang w:val="en-GB"/>
        </w:rPr>
      </w:pPr>
      <w:r w:rsidRPr="00622335">
        <w:rPr>
          <w:lang w:val="en-GB"/>
        </w:rPr>
        <w:t xml:space="preserve">The chemical name, identification and structure are all listed in Table 2.1 below. </w:t>
      </w:r>
    </w:p>
    <w:p w14:paraId="2F0B170D" w14:textId="77777777" w:rsidR="00FD3A50" w:rsidRPr="00622335" w:rsidRDefault="00FD3A50" w:rsidP="00FD3A50">
      <w:pPr>
        <w:rPr>
          <w:lang w:val="en-GB"/>
        </w:rPr>
      </w:pPr>
    </w:p>
    <w:p w14:paraId="321D3D49" w14:textId="66365E3B" w:rsidR="00FD3A50" w:rsidRPr="00622335" w:rsidRDefault="00FD3A50" w:rsidP="005F0105">
      <w:pPr>
        <w:pStyle w:val="FSTableTitle"/>
        <w:keepNext/>
        <w:keepLines/>
        <w:rPr>
          <w:lang w:val="en-GB"/>
        </w:rPr>
      </w:pPr>
      <w:r w:rsidRPr="00622335">
        <w:rPr>
          <w:lang w:val="en-GB"/>
        </w:rPr>
        <w:t>Table 2.1</w:t>
      </w:r>
      <w:r w:rsidR="00FE490D">
        <w:rPr>
          <w:lang w:val="en-GB"/>
        </w:rPr>
        <w:t xml:space="preserve">: </w:t>
      </w:r>
      <w:r w:rsidRPr="00622335">
        <w:rPr>
          <w:lang w:val="en-GB"/>
        </w:rPr>
        <w:t xml:space="preserve">Chemical properties of the oil </w:t>
      </w:r>
    </w:p>
    <w:p w14:paraId="200F6C17" w14:textId="77777777" w:rsidR="002B507B" w:rsidRPr="00622335" w:rsidRDefault="002B507B" w:rsidP="005F0105">
      <w:pPr>
        <w:keepNext/>
        <w:keepLines/>
        <w:widowControl/>
        <w:rPr>
          <w:b/>
          <w:bCs/>
          <w:sz w:val="16"/>
          <w:szCs w:val="16"/>
          <w:lang w:val="en-GB" w:eastAsia="en-AU" w:bidi="ar-SA"/>
        </w:rPr>
      </w:pPr>
    </w:p>
    <w:tbl>
      <w:tblPr>
        <w:tblStyle w:val="TableGrid1"/>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emical properties of the oil "/>
        <w:tblDescription w:val="Table 2.1 lists he chemical name, identification and structure"/>
      </w:tblPr>
      <w:tblGrid>
        <w:gridCol w:w="2047"/>
        <w:gridCol w:w="7239"/>
      </w:tblGrid>
      <w:tr w:rsidR="00891F8B" w:rsidRPr="00DE5269" w14:paraId="3C1E9D4C" w14:textId="77777777" w:rsidTr="00297A02">
        <w:trPr>
          <w:cantSplit/>
          <w:tblHeader/>
        </w:trPr>
        <w:tc>
          <w:tcPr>
            <w:tcW w:w="2047" w:type="dxa"/>
            <w:shd w:val="clear" w:color="auto" w:fill="C6D9F1" w:themeFill="text2" w:themeFillTint="33"/>
          </w:tcPr>
          <w:p w14:paraId="3864AB8F" w14:textId="4771E341" w:rsidR="00891F8B" w:rsidRPr="00622335" w:rsidRDefault="00891F8B" w:rsidP="00891F8B">
            <w:pPr>
              <w:pStyle w:val="FSTableHeading"/>
              <w:rPr>
                <w:lang w:val="en-GB"/>
              </w:rPr>
            </w:pPr>
            <w:r w:rsidRPr="00622335">
              <w:rPr>
                <w:lang w:val="en-GB"/>
              </w:rPr>
              <w:t xml:space="preserve">Property </w:t>
            </w:r>
          </w:p>
        </w:tc>
        <w:tc>
          <w:tcPr>
            <w:tcW w:w="7239" w:type="dxa"/>
            <w:shd w:val="clear" w:color="auto" w:fill="C6D9F1" w:themeFill="text2" w:themeFillTint="33"/>
          </w:tcPr>
          <w:p w14:paraId="09166B4A" w14:textId="31757412" w:rsidR="00891F8B" w:rsidRPr="00622335" w:rsidRDefault="00891F8B" w:rsidP="00891F8B">
            <w:pPr>
              <w:pStyle w:val="FSTableHeading"/>
              <w:rPr>
                <w:lang w:val="en-GB"/>
              </w:rPr>
            </w:pPr>
            <w:r w:rsidRPr="00622335">
              <w:rPr>
                <w:lang w:val="en-GB"/>
              </w:rPr>
              <w:t>Description</w:t>
            </w:r>
          </w:p>
        </w:tc>
      </w:tr>
      <w:tr w:rsidR="0094412C" w:rsidRPr="00DE5269" w14:paraId="1C6157C7" w14:textId="77777777" w:rsidTr="00FA544E">
        <w:trPr>
          <w:trHeight w:val="284"/>
        </w:trPr>
        <w:tc>
          <w:tcPr>
            <w:tcW w:w="2047" w:type="dxa"/>
          </w:tcPr>
          <w:p w14:paraId="5B564F11" w14:textId="518DFB8E" w:rsidR="0094412C" w:rsidRPr="00622335" w:rsidRDefault="0094412C" w:rsidP="0094412C">
            <w:pPr>
              <w:keepNext/>
              <w:keepLines/>
              <w:widowControl/>
              <w:tabs>
                <w:tab w:val="left" w:pos="992"/>
              </w:tabs>
              <w:spacing w:before="240" w:after="240"/>
              <w:ind w:left="851" w:hanging="851"/>
              <w:outlineLvl w:val="3"/>
              <w:rPr>
                <w:bCs/>
                <w:i/>
                <w:iCs/>
                <w:sz w:val="20"/>
                <w:szCs w:val="22"/>
                <w:lang w:val="en-GB" w:bidi="ar-SA"/>
              </w:rPr>
            </w:pPr>
            <w:r w:rsidRPr="00622335">
              <w:rPr>
                <w:bCs/>
                <w:i/>
                <w:iCs/>
                <w:sz w:val="20"/>
                <w:szCs w:val="22"/>
                <w:lang w:val="en-GB" w:bidi="ar-SA"/>
              </w:rPr>
              <w:t>Chemical name:</w:t>
            </w:r>
          </w:p>
        </w:tc>
        <w:tc>
          <w:tcPr>
            <w:tcW w:w="7239" w:type="dxa"/>
          </w:tcPr>
          <w:p w14:paraId="19243065" w14:textId="5AE30043" w:rsidR="0094412C" w:rsidRPr="00622335" w:rsidRDefault="0094412C" w:rsidP="0094412C">
            <w:pPr>
              <w:keepNext/>
              <w:keepLines/>
              <w:widowControl/>
              <w:spacing w:before="240" w:after="240"/>
              <w:outlineLvl w:val="3"/>
              <w:rPr>
                <w:bCs/>
                <w:iCs/>
                <w:sz w:val="20"/>
                <w:szCs w:val="22"/>
                <w:lang w:val="en-GB" w:bidi="ar-SA"/>
              </w:rPr>
            </w:pPr>
            <w:r w:rsidRPr="00622335">
              <w:rPr>
                <w:bCs/>
                <w:iCs/>
                <w:sz w:val="20"/>
                <w:szCs w:val="22"/>
                <w:lang w:val="en-GB" w:bidi="ar-SA"/>
              </w:rPr>
              <w:t xml:space="preserve">Docosahexaenoic acid algal oil (from </w:t>
            </w:r>
            <w:r w:rsidRPr="00622335">
              <w:rPr>
                <w:bCs/>
                <w:i/>
                <w:iCs/>
                <w:sz w:val="20"/>
                <w:szCs w:val="22"/>
                <w:lang w:val="en-GB" w:bidi="ar-SA"/>
              </w:rPr>
              <w:t xml:space="preserve">Schizochytrium </w:t>
            </w:r>
            <w:r w:rsidRPr="00622335">
              <w:rPr>
                <w:bCs/>
                <w:iCs/>
                <w:sz w:val="20"/>
                <w:szCs w:val="22"/>
                <w:lang w:val="en-GB" w:bidi="ar-SA"/>
              </w:rPr>
              <w:t>sp.)</w:t>
            </w:r>
          </w:p>
        </w:tc>
      </w:tr>
      <w:tr w:rsidR="002B507B" w:rsidRPr="00DE5269" w14:paraId="67162830" w14:textId="77777777" w:rsidTr="00FA544E">
        <w:trPr>
          <w:trHeight w:val="284"/>
        </w:trPr>
        <w:tc>
          <w:tcPr>
            <w:tcW w:w="2047" w:type="dxa"/>
          </w:tcPr>
          <w:p w14:paraId="20DDD5CC" w14:textId="263D23E1" w:rsidR="002B507B" w:rsidRPr="00622335" w:rsidRDefault="002B507B" w:rsidP="005F0105">
            <w:pPr>
              <w:keepNext/>
              <w:keepLines/>
              <w:widowControl/>
              <w:tabs>
                <w:tab w:val="left" w:pos="534"/>
              </w:tabs>
              <w:spacing w:before="240" w:after="240"/>
              <w:outlineLvl w:val="3"/>
              <w:rPr>
                <w:bCs/>
                <w:i/>
                <w:iCs/>
                <w:sz w:val="20"/>
                <w:szCs w:val="22"/>
                <w:lang w:val="en-GB" w:bidi="ar-SA"/>
              </w:rPr>
            </w:pPr>
            <w:r w:rsidRPr="00622335">
              <w:rPr>
                <w:bCs/>
                <w:i/>
                <w:iCs/>
                <w:sz w:val="20"/>
                <w:szCs w:val="22"/>
                <w:lang w:val="en-GB" w:bidi="ar-SA"/>
              </w:rPr>
              <w:t xml:space="preserve">Common </w:t>
            </w:r>
            <w:r w:rsidR="00AD3F42" w:rsidRPr="00622335">
              <w:rPr>
                <w:bCs/>
                <w:i/>
                <w:iCs/>
                <w:sz w:val="20"/>
                <w:szCs w:val="22"/>
                <w:lang w:val="en-GB" w:bidi="ar-SA"/>
              </w:rPr>
              <w:t>n</w:t>
            </w:r>
            <w:r w:rsidRPr="00622335">
              <w:rPr>
                <w:bCs/>
                <w:i/>
                <w:iCs/>
                <w:sz w:val="20"/>
                <w:szCs w:val="22"/>
                <w:lang w:val="en-GB" w:bidi="ar-SA"/>
              </w:rPr>
              <w:t>ames:</w:t>
            </w:r>
          </w:p>
        </w:tc>
        <w:tc>
          <w:tcPr>
            <w:tcW w:w="7239" w:type="dxa"/>
          </w:tcPr>
          <w:p w14:paraId="795FB0FF" w14:textId="3DA0BD69" w:rsidR="002B507B" w:rsidRPr="00622335" w:rsidRDefault="002B507B" w:rsidP="005F0105">
            <w:pPr>
              <w:keepNext/>
              <w:keepLines/>
              <w:widowControl/>
              <w:spacing w:before="240" w:after="240"/>
              <w:outlineLvl w:val="3"/>
              <w:rPr>
                <w:bCs/>
                <w:iCs/>
                <w:sz w:val="20"/>
                <w:szCs w:val="22"/>
                <w:lang w:val="en-GB" w:bidi="ar-SA"/>
              </w:rPr>
            </w:pPr>
            <w:r w:rsidRPr="00622335">
              <w:rPr>
                <w:bCs/>
                <w:iCs/>
                <w:sz w:val="20"/>
                <w:szCs w:val="22"/>
                <w:lang w:val="en-GB" w:bidi="ar-SA"/>
              </w:rPr>
              <w:t xml:space="preserve">DHA </w:t>
            </w:r>
            <w:r w:rsidR="00A11242" w:rsidRPr="00622335">
              <w:rPr>
                <w:bCs/>
                <w:iCs/>
                <w:sz w:val="20"/>
                <w:szCs w:val="22"/>
                <w:lang w:val="en-GB" w:bidi="ar-SA"/>
              </w:rPr>
              <w:t>a</w:t>
            </w:r>
            <w:r w:rsidRPr="00622335">
              <w:rPr>
                <w:bCs/>
                <w:iCs/>
                <w:sz w:val="20"/>
                <w:szCs w:val="22"/>
                <w:lang w:val="en-GB" w:bidi="ar-SA"/>
              </w:rPr>
              <w:t xml:space="preserve">lgal </w:t>
            </w:r>
            <w:r w:rsidR="00A11242" w:rsidRPr="00622335">
              <w:rPr>
                <w:bCs/>
                <w:iCs/>
                <w:sz w:val="20"/>
                <w:szCs w:val="22"/>
                <w:lang w:val="en-GB" w:bidi="ar-SA"/>
              </w:rPr>
              <w:t>o</w:t>
            </w:r>
            <w:r w:rsidRPr="00622335">
              <w:rPr>
                <w:bCs/>
                <w:iCs/>
                <w:sz w:val="20"/>
                <w:szCs w:val="22"/>
                <w:lang w:val="en-GB" w:bidi="ar-SA"/>
              </w:rPr>
              <w:t xml:space="preserve">il, </w:t>
            </w:r>
            <w:r w:rsidR="00A11242" w:rsidRPr="00622335">
              <w:rPr>
                <w:bCs/>
                <w:iCs/>
                <w:sz w:val="20"/>
                <w:szCs w:val="22"/>
                <w:lang w:val="en-GB" w:bidi="ar-SA"/>
              </w:rPr>
              <w:t>a</w:t>
            </w:r>
            <w:r w:rsidRPr="00622335">
              <w:rPr>
                <w:bCs/>
                <w:iCs/>
                <w:sz w:val="20"/>
                <w:szCs w:val="22"/>
                <w:lang w:val="en-GB" w:bidi="ar-SA"/>
              </w:rPr>
              <w:t xml:space="preserve">lgal </w:t>
            </w:r>
            <w:r w:rsidR="00A11242" w:rsidRPr="00622335">
              <w:rPr>
                <w:bCs/>
                <w:iCs/>
                <w:sz w:val="20"/>
                <w:szCs w:val="22"/>
                <w:lang w:val="en-GB" w:bidi="ar-SA"/>
              </w:rPr>
              <w:t>o</w:t>
            </w:r>
            <w:r w:rsidRPr="00622335">
              <w:rPr>
                <w:bCs/>
                <w:iCs/>
                <w:sz w:val="20"/>
                <w:szCs w:val="22"/>
                <w:lang w:val="en-GB" w:bidi="ar-SA"/>
              </w:rPr>
              <w:t>il,</w:t>
            </w:r>
            <w:r w:rsidRPr="00622335">
              <w:rPr>
                <w:color w:val="000000"/>
                <w:sz w:val="20"/>
                <w:szCs w:val="21"/>
                <w:lang w:val="en-GB"/>
              </w:rPr>
              <w:t xml:space="preserve"> </w:t>
            </w:r>
            <w:r w:rsidRPr="00622335">
              <w:rPr>
                <w:bCs/>
                <w:iCs/>
                <w:sz w:val="20"/>
                <w:szCs w:val="22"/>
                <w:lang w:val="en-GB" w:bidi="ar-SA"/>
              </w:rPr>
              <w:t>cervonic acid</w:t>
            </w:r>
          </w:p>
        </w:tc>
      </w:tr>
      <w:tr w:rsidR="002B507B" w:rsidRPr="00DE5269" w14:paraId="68CD0356" w14:textId="77777777" w:rsidTr="00FA544E">
        <w:trPr>
          <w:cantSplit/>
        </w:trPr>
        <w:tc>
          <w:tcPr>
            <w:tcW w:w="2047" w:type="dxa"/>
          </w:tcPr>
          <w:p w14:paraId="58109586" w14:textId="77777777" w:rsidR="002B507B" w:rsidRPr="00622335" w:rsidRDefault="002B507B" w:rsidP="005F0105">
            <w:pPr>
              <w:keepNext/>
              <w:keepLines/>
              <w:widowControl/>
              <w:spacing w:before="240" w:after="240"/>
              <w:outlineLvl w:val="3"/>
              <w:rPr>
                <w:bCs/>
                <w:i/>
                <w:iCs/>
                <w:sz w:val="20"/>
                <w:szCs w:val="22"/>
                <w:lang w:val="en-GB" w:bidi="ar-SA"/>
              </w:rPr>
            </w:pPr>
            <w:r w:rsidRPr="00622335">
              <w:rPr>
                <w:bCs/>
                <w:i/>
                <w:iCs/>
                <w:sz w:val="20"/>
                <w:szCs w:val="22"/>
                <w:lang w:val="en-GB" w:bidi="ar-SA"/>
              </w:rPr>
              <w:t>CAS Registry Number:</w:t>
            </w:r>
          </w:p>
        </w:tc>
        <w:tc>
          <w:tcPr>
            <w:tcW w:w="7239" w:type="dxa"/>
          </w:tcPr>
          <w:p w14:paraId="0F451897" w14:textId="77777777" w:rsidR="002B507B" w:rsidRPr="00622335" w:rsidRDefault="002B507B" w:rsidP="005F0105">
            <w:pPr>
              <w:keepNext/>
              <w:keepLines/>
              <w:widowControl/>
              <w:spacing w:before="240" w:after="240"/>
              <w:outlineLvl w:val="3"/>
              <w:rPr>
                <w:bCs/>
                <w:iCs/>
                <w:sz w:val="20"/>
                <w:szCs w:val="22"/>
                <w:lang w:val="en-GB" w:bidi="ar-SA"/>
              </w:rPr>
            </w:pPr>
            <w:r w:rsidRPr="00622335">
              <w:rPr>
                <w:bCs/>
                <w:iCs/>
                <w:sz w:val="20"/>
                <w:szCs w:val="22"/>
                <w:lang w:val="en-GB" w:bidi="ar-SA"/>
              </w:rPr>
              <w:t>The CAS number for fatty acids containing 14-22 carbons (C14-C22), and 16-22 carbons (C16-C22) esterified to glycerol is 68424-59-9 (described in the CAS registry as “glycerides”, C14-C22 and C16-C22-unsatd.)</w:t>
            </w:r>
          </w:p>
        </w:tc>
      </w:tr>
      <w:tr w:rsidR="000D62BA" w:rsidRPr="00DE5269" w14:paraId="2A2AE713" w14:textId="77777777" w:rsidTr="00FA544E">
        <w:trPr>
          <w:trHeight w:val="284"/>
        </w:trPr>
        <w:tc>
          <w:tcPr>
            <w:tcW w:w="2047" w:type="dxa"/>
          </w:tcPr>
          <w:p w14:paraId="2D17ADD9" w14:textId="7B8208DA" w:rsidR="000D62BA" w:rsidRPr="00622335" w:rsidRDefault="000D62BA" w:rsidP="005F0105">
            <w:pPr>
              <w:keepNext/>
              <w:keepLines/>
              <w:widowControl/>
              <w:spacing w:before="240" w:after="240"/>
              <w:outlineLvl w:val="3"/>
              <w:rPr>
                <w:bCs/>
                <w:i/>
                <w:iCs/>
                <w:sz w:val="20"/>
                <w:szCs w:val="22"/>
                <w:lang w:val="en-GB" w:bidi="ar-SA"/>
              </w:rPr>
            </w:pPr>
            <w:r w:rsidRPr="00622335">
              <w:rPr>
                <w:bCs/>
                <w:i/>
                <w:iCs/>
                <w:sz w:val="20"/>
                <w:szCs w:val="22"/>
                <w:lang w:val="en-GB" w:bidi="ar-SA"/>
              </w:rPr>
              <w:t xml:space="preserve">American Type Culture Collection Number: </w:t>
            </w:r>
          </w:p>
        </w:tc>
        <w:tc>
          <w:tcPr>
            <w:tcW w:w="7239" w:type="dxa"/>
          </w:tcPr>
          <w:p w14:paraId="00752C23" w14:textId="3BE8E777" w:rsidR="000D62BA" w:rsidRPr="00622335" w:rsidRDefault="000D62BA" w:rsidP="005F0105">
            <w:pPr>
              <w:keepNext/>
              <w:keepLines/>
              <w:widowControl/>
              <w:spacing w:before="240" w:after="240"/>
              <w:outlineLvl w:val="3"/>
              <w:rPr>
                <w:bCs/>
                <w:iCs/>
                <w:sz w:val="20"/>
                <w:szCs w:val="22"/>
                <w:lang w:val="en-GB" w:bidi="ar-SA"/>
              </w:rPr>
            </w:pPr>
            <w:r w:rsidRPr="00622335">
              <w:rPr>
                <w:bCs/>
                <w:iCs/>
                <w:sz w:val="20"/>
                <w:szCs w:val="22"/>
                <w:lang w:val="en-GB" w:bidi="ar-SA"/>
              </w:rPr>
              <w:t>PTA-9695</w:t>
            </w:r>
          </w:p>
        </w:tc>
      </w:tr>
      <w:tr w:rsidR="002B507B" w:rsidRPr="00DE5269" w14:paraId="2E1A48EE" w14:textId="77777777" w:rsidTr="00FA544E">
        <w:trPr>
          <w:trHeight w:val="690"/>
        </w:trPr>
        <w:tc>
          <w:tcPr>
            <w:tcW w:w="2047" w:type="dxa"/>
          </w:tcPr>
          <w:p w14:paraId="1C05FA13" w14:textId="77777777" w:rsidR="002B507B" w:rsidRPr="00622335" w:rsidRDefault="002B507B" w:rsidP="005F0105">
            <w:pPr>
              <w:keepNext/>
              <w:keepLines/>
              <w:widowControl/>
              <w:spacing w:before="240" w:after="240"/>
              <w:outlineLvl w:val="3"/>
              <w:rPr>
                <w:bCs/>
                <w:i/>
                <w:iCs/>
                <w:sz w:val="20"/>
                <w:szCs w:val="22"/>
                <w:lang w:val="en-GB" w:bidi="ar-SA"/>
              </w:rPr>
            </w:pPr>
            <w:r w:rsidRPr="00622335">
              <w:rPr>
                <w:bCs/>
                <w:i/>
                <w:iCs/>
                <w:sz w:val="20"/>
                <w:szCs w:val="22"/>
                <w:lang w:val="en-GB" w:bidi="ar-SA"/>
              </w:rPr>
              <w:t>Chemical formula:</w:t>
            </w:r>
          </w:p>
        </w:tc>
        <w:tc>
          <w:tcPr>
            <w:tcW w:w="7239" w:type="dxa"/>
          </w:tcPr>
          <w:p w14:paraId="2C5759BC" w14:textId="77777777" w:rsidR="002B507B" w:rsidRPr="00622335" w:rsidRDefault="002B507B" w:rsidP="005F0105">
            <w:pPr>
              <w:keepNext/>
              <w:keepLines/>
              <w:widowControl/>
              <w:spacing w:before="240" w:after="240"/>
              <w:outlineLvl w:val="3"/>
              <w:rPr>
                <w:bCs/>
                <w:iCs/>
                <w:sz w:val="20"/>
                <w:szCs w:val="22"/>
                <w:lang w:val="en-GB" w:bidi="ar-SA"/>
              </w:rPr>
            </w:pPr>
            <w:r w:rsidRPr="00622335">
              <w:rPr>
                <w:bCs/>
                <w:iCs/>
                <w:sz w:val="20"/>
                <w:szCs w:val="22"/>
                <w:lang w:val="en-GB" w:bidi="ar-SA"/>
              </w:rPr>
              <w:t>C</w:t>
            </w:r>
            <w:r w:rsidRPr="00622335">
              <w:rPr>
                <w:bCs/>
                <w:iCs/>
                <w:sz w:val="20"/>
                <w:szCs w:val="22"/>
                <w:vertAlign w:val="subscript"/>
                <w:lang w:val="en-GB" w:bidi="ar-SA"/>
              </w:rPr>
              <w:t>22</w:t>
            </w:r>
            <w:r w:rsidRPr="00622335">
              <w:rPr>
                <w:bCs/>
                <w:iCs/>
                <w:sz w:val="20"/>
                <w:szCs w:val="22"/>
                <w:lang w:val="en-GB" w:bidi="ar-SA"/>
              </w:rPr>
              <w:t>H</w:t>
            </w:r>
            <w:r w:rsidRPr="00622335">
              <w:rPr>
                <w:bCs/>
                <w:iCs/>
                <w:sz w:val="20"/>
                <w:szCs w:val="22"/>
                <w:vertAlign w:val="subscript"/>
                <w:lang w:val="en-GB" w:bidi="ar-SA"/>
              </w:rPr>
              <w:t>32</w:t>
            </w:r>
            <w:r w:rsidRPr="00622335">
              <w:rPr>
                <w:bCs/>
                <w:iCs/>
                <w:sz w:val="20"/>
                <w:szCs w:val="22"/>
                <w:lang w:val="en-GB" w:bidi="ar-SA"/>
              </w:rPr>
              <w:t>O</w:t>
            </w:r>
            <w:r w:rsidRPr="00622335">
              <w:rPr>
                <w:bCs/>
                <w:iCs/>
                <w:sz w:val="20"/>
                <w:szCs w:val="22"/>
                <w:vertAlign w:val="subscript"/>
                <w:lang w:val="en-GB" w:bidi="ar-SA"/>
              </w:rPr>
              <w:t>2</w:t>
            </w:r>
          </w:p>
        </w:tc>
      </w:tr>
      <w:tr w:rsidR="002B507B" w:rsidRPr="00DE5269" w14:paraId="744D3A02" w14:textId="77777777" w:rsidTr="00FD3A50">
        <w:trPr>
          <w:trHeight w:val="230"/>
        </w:trPr>
        <w:tc>
          <w:tcPr>
            <w:tcW w:w="2047" w:type="dxa"/>
            <w:tcBorders>
              <w:bottom w:val="single" w:sz="4" w:space="0" w:color="auto"/>
            </w:tcBorders>
          </w:tcPr>
          <w:p w14:paraId="416C9ED0" w14:textId="77777777" w:rsidR="002B507B" w:rsidRPr="00622335" w:rsidRDefault="002B507B" w:rsidP="005F0105">
            <w:pPr>
              <w:keepNext/>
              <w:keepLines/>
              <w:widowControl/>
              <w:spacing w:before="240" w:after="240"/>
              <w:outlineLvl w:val="3"/>
              <w:rPr>
                <w:bCs/>
                <w:i/>
                <w:iCs/>
                <w:sz w:val="20"/>
                <w:szCs w:val="22"/>
                <w:lang w:val="en-GB" w:bidi="ar-SA"/>
              </w:rPr>
            </w:pPr>
            <w:r w:rsidRPr="00622335">
              <w:rPr>
                <w:bCs/>
                <w:i/>
                <w:iCs/>
                <w:sz w:val="20"/>
                <w:szCs w:val="22"/>
                <w:lang w:val="en-GB" w:bidi="ar-SA"/>
              </w:rPr>
              <w:t>Molecular weight:</w:t>
            </w:r>
          </w:p>
        </w:tc>
        <w:tc>
          <w:tcPr>
            <w:tcW w:w="7239" w:type="dxa"/>
            <w:tcBorders>
              <w:bottom w:val="single" w:sz="4" w:space="0" w:color="auto"/>
            </w:tcBorders>
          </w:tcPr>
          <w:p w14:paraId="7F156EEB" w14:textId="6B7A2091" w:rsidR="002B507B" w:rsidRPr="00622335" w:rsidRDefault="002B507B" w:rsidP="005F0105">
            <w:pPr>
              <w:keepNext/>
              <w:keepLines/>
              <w:widowControl/>
              <w:spacing w:before="240" w:after="240"/>
              <w:outlineLvl w:val="3"/>
              <w:rPr>
                <w:bCs/>
                <w:iCs/>
                <w:sz w:val="20"/>
                <w:szCs w:val="22"/>
                <w:lang w:val="en-GB" w:bidi="ar-SA"/>
              </w:rPr>
            </w:pPr>
            <w:r w:rsidRPr="00622335">
              <w:rPr>
                <w:bCs/>
                <w:iCs/>
                <w:sz w:val="20"/>
                <w:szCs w:val="22"/>
                <w:lang w:val="en-GB" w:bidi="ar-SA"/>
              </w:rPr>
              <w:t>328.488 g/mol</w:t>
            </w:r>
          </w:p>
        </w:tc>
      </w:tr>
      <w:tr w:rsidR="002B507B" w:rsidRPr="00DE5269" w14:paraId="6D3842E4" w14:textId="77777777" w:rsidTr="00FD3A50">
        <w:trPr>
          <w:trHeight w:val="60"/>
        </w:trPr>
        <w:tc>
          <w:tcPr>
            <w:tcW w:w="2047" w:type="dxa"/>
            <w:tcBorders>
              <w:bottom w:val="nil"/>
              <w:right w:val="nil"/>
            </w:tcBorders>
          </w:tcPr>
          <w:p w14:paraId="51B75CAE" w14:textId="77777777" w:rsidR="002B507B" w:rsidRPr="00622335" w:rsidRDefault="002B507B" w:rsidP="005F0105">
            <w:pPr>
              <w:keepNext/>
              <w:keepLines/>
              <w:widowControl/>
              <w:spacing w:before="240" w:after="240"/>
              <w:outlineLvl w:val="3"/>
              <w:rPr>
                <w:bCs/>
                <w:i/>
                <w:iCs/>
                <w:sz w:val="20"/>
                <w:szCs w:val="22"/>
                <w:lang w:val="en-GB" w:bidi="ar-SA"/>
              </w:rPr>
            </w:pPr>
            <w:r w:rsidRPr="00622335">
              <w:rPr>
                <w:bCs/>
                <w:i/>
                <w:iCs/>
                <w:sz w:val="20"/>
                <w:szCs w:val="22"/>
                <w:lang w:val="en-GB" w:bidi="ar-SA"/>
              </w:rPr>
              <w:t>Structural formula:</w:t>
            </w:r>
          </w:p>
        </w:tc>
        <w:tc>
          <w:tcPr>
            <w:tcW w:w="7239" w:type="dxa"/>
            <w:tcBorders>
              <w:left w:val="nil"/>
              <w:bottom w:val="nil"/>
            </w:tcBorders>
            <w:vAlign w:val="center"/>
          </w:tcPr>
          <w:p w14:paraId="026B6617" w14:textId="0A352336" w:rsidR="002B507B" w:rsidRPr="00622335" w:rsidRDefault="002B507B" w:rsidP="005F0105">
            <w:pPr>
              <w:keepNext/>
              <w:keepLines/>
              <w:widowControl/>
              <w:spacing w:before="240" w:after="240"/>
              <w:outlineLvl w:val="3"/>
              <w:rPr>
                <w:bCs/>
                <w:iCs/>
                <w:sz w:val="20"/>
                <w:szCs w:val="22"/>
                <w:lang w:val="en-GB" w:bidi="ar-SA"/>
              </w:rPr>
            </w:pPr>
          </w:p>
        </w:tc>
      </w:tr>
      <w:tr w:rsidR="002B507B" w:rsidRPr="00DE5269" w14:paraId="2FB117D1" w14:textId="77777777" w:rsidTr="00FD3A50">
        <w:trPr>
          <w:trHeight w:val="284"/>
        </w:trPr>
        <w:tc>
          <w:tcPr>
            <w:tcW w:w="9286" w:type="dxa"/>
            <w:gridSpan w:val="2"/>
            <w:tcBorders>
              <w:top w:val="nil"/>
            </w:tcBorders>
          </w:tcPr>
          <w:p w14:paraId="7F6DBB23" w14:textId="781B0195" w:rsidR="002B507B" w:rsidRPr="00622335" w:rsidRDefault="002B507B" w:rsidP="00200B76">
            <w:pPr>
              <w:keepNext/>
              <w:keepLines/>
              <w:widowControl/>
              <w:spacing w:before="240" w:after="240"/>
              <w:jc w:val="center"/>
              <w:outlineLvl w:val="3"/>
              <w:rPr>
                <w:lang w:val="en-GB"/>
              </w:rPr>
            </w:pPr>
            <w:r w:rsidRPr="00DE5269">
              <w:rPr>
                <w:noProof/>
                <w:lang w:val="en-GB" w:eastAsia="en-GB" w:bidi="ar-SA"/>
              </w:rPr>
              <w:drawing>
                <wp:inline distT="0" distB="0" distL="0" distR="0" wp14:anchorId="241F7A12" wp14:editId="43AA9514">
                  <wp:extent cx="4551998" cy="655608"/>
                  <wp:effectExtent l="0" t="0" r="1270" b="0"/>
                  <wp:docPr id="5" name="Picture 5" descr="This shows the chemical structure of DHA " title="Structural formula of D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61621" cy="656994"/>
                          </a:xfrm>
                          <a:prstGeom prst="rect">
                            <a:avLst/>
                          </a:prstGeom>
                        </pic:spPr>
                      </pic:pic>
                    </a:graphicData>
                  </a:graphic>
                </wp:inline>
              </w:drawing>
            </w:r>
          </w:p>
        </w:tc>
      </w:tr>
    </w:tbl>
    <w:p w14:paraId="40434D60" w14:textId="61789BB5" w:rsidR="002B507B" w:rsidRPr="00FE490D" w:rsidRDefault="002B507B" w:rsidP="00822559">
      <w:pPr>
        <w:pStyle w:val="Heading2"/>
      </w:pPr>
      <w:bookmarkStart w:id="23" w:name="_Toc464129767"/>
      <w:r w:rsidRPr="00FE490D">
        <w:t>2.3</w:t>
      </w:r>
      <w:r w:rsidRPr="00FE490D">
        <w:tab/>
        <w:t>Analytical method for detection</w:t>
      </w:r>
      <w:bookmarkEnd w:id="23"/>
    </w:p>
    <w:p w14:paraId="70FC2AB2" w14:textId="464C4A75" w:rsidR="002B507B" w:rsidRDefault="002B507B" w:rsidP="00822559">
      <w:pPr>
        <w:keepNext/>
        <w:keepLines/>
        <w:rPr>
          <w:rFonts w:eastAsia="Calibri"/>
          <w:lang w:val="en-GB"/>
        </w:rPr>
      </w:pPr>
      <w:r w:rsidRPr="00622335">
        <w:rPr>
          <w:rFonts w:eastAsia="Calibri"/>
          <w:lang w:val="en-GB"/>
        </w:rPr>
        <w:t xml:space="preserve">The </w:t>
      </w:r>
      <w:r w:rsidR="00200B76">
        <w:rPr>
          <w:rFonts w:eastAsia="Calibri"/>
          <w:lang w:val="en-GB"/>
        </w:rPr>
        <w:t>Applicant</w:t>
      </w:r>
      <w:r w:rsidRPr="00622335">
        <w:rPr>
          <w:rFonts w:eastAsia="Calibri"/>
          <w:lang w:val="en-GB"/>
        </w:rPr>
        <w:t xml:space="preserve"> has cited AOCS Ce 1b-89; “Fatty Acid Composition of Marine Oils by GLC” as the method of choice for identifying and quantifying DHA in oils. This method however, is not applicable to food matrices</w:t>
      </w:r>
      <w:r w:rsidR="006F1A75" w:rsidRPr="00622335">
        <w:rPr>
          <w:rFonts w:eastAsia="Calibri"/>
          <w:lang w:val="en-GB"/>
        </w:rPr>
        <w:t xml:space="preserve"> such as </w:t>
      </w:r>
      <w:r w:rsidR="00200B76">
        <w:rPr>
          <w:rFonts w:eastAsia="Calibri"/>
          <w:lang w:val="en-GB"/>
        </w:rPr>
        <w:t>infant formula products</w:t>
      </w:r>
      <w:r w:rsidRPr="00622335">
        <w:rPr>
          <w:rFonts w:eastAsia="Calibri"/>
          <w:lang w:val="en-GB"/>
        </w:rPr>
        <w:t>.</w:t>
      </w:r>
    </w:p>
    <w:p w14:paraId="729B76A9" w14:textId="77777777" w:rsidR="00FE490D" w:rsidRPr="00622335" w:rsidRDefault="00FE490D" w:rsidP="00822559">
      <w:pPr>
        <w:keepNext/>
        <w:keepLines/>
        <w:rPr>
          <w:rFonts w:eastAsia="Calibri"/>
          <w:lang w:val="en-GB"/>
        </w:rPr>
      </w:pPr>
    </w:p>
    <w:p w14:paraId="139D06B5" w14:textId="669FCA18" w:rsidR="002B507B" w:rsidRPr="00622335" w:rsidRDefault="002B507B" w:rsidP="00822559">
      <w:pPr>
        <w:keepNext/>
        <w:keepLines/>
        <w:rPr>
          <w:rFonts w:eastAsia="Calibri"/>
          <w:lang w:val="en-GB"/>
        </w:rPr>
      </w:pPr>
      <w:r w:rsidRPr="00622335">
        <w:rPr>
          <w:rFonts w:eastAsia="Calibri"/>
          <w:lang w:val="en-GB"/>
        </w:rPr>
        <w:t xml:space="preserve">For fortified foods (food matrices) such as </w:t>
      </w:r>
      <w:r w:rsidR="00200B76">
        <w:rPr>
          <w:rFonts w:eastAsia="Calibri"/>
          <w:lang w:val="en-GB"/>
        </w:rPr>
        <w:t>infant formula products</w:t>
      </w:r>
      <w:r w:rsidRPr="00622335">
        <w:rPr>
          <w:rFonts w:eastAsia="Calibri"/>
          <w:lang w:val="en-GB"/>
        </w:rPr>
        <w:t>, the method of choice is AOAC 996.06, “Fat (Total, Saturated and Unsaturated) in Foods”, which is used to determine DHA potency of a sample.</w:t>
      </w:r>
    </w:p>
    <w:p w14:paraId="70158DBD" w14:textId="229C15AA" w:rsidR="00CB73A8" w:rsidRPr="00A76FA6" w:rsidRDefault="00CB73A8" w:rsidP="00CB73A8">
      <w:pPr>
        <w:pStyle w:val="Heading2"/>
      </w:pPr>
      <w:bookmarkStart w:id="24" w:name="_Toc464129768"/>
      <w:r w:rsidRPr="00FE490D">
        <w:t>2.</w:t>
      </w:r>
      <w:r w:rsidR="00F40EB1" w:rsidRPr="00A76FA6">
        <w:t>4</w:t>
      </w:r>
      <w:r w:rsidRPr="00A76FA6">
        <w:tab/>
        <w:t>Product specification</w:t>
      </w:r>
      <w:bookmarkEnd w:id="24"/>
    </w:p>
    <w:p w14:paraId="3725932A" w14:textId="158C7D65" w:rsidR="00BE3399" w:rsidRDefault="00F3019F" w:rsidP="00CB73A8">
      <w:pPr>
        <w:rPr>
          <w:rFonts w:eastAsia="Calibri"/>
          <w:lang w:val="en-GB" w:bidi="ar-SA"/>
        </w:rPr>
      </w:pPr>
      <w:r w:rsidRPr="00622335">
        <w:rPr>
          <w:lang w:val="en-GB"/>
        </w:rPr>
        <w:t>As</w:t>
      </w:r>
      <w:r w:rsidR="00FE159C" w:rsidRPr="00622335">
        <w:rPr>
          <w:lang w:val="en-GB"/>
        </w:rPr>
        <w:t xml:space="preserve"> specified </w:t>
      </w:r>
      <w:r w:rsidRPr="00622335">
        <w:rPr>
          <w:lang w:val="en-GB"/>
        </w:rPr>
        <w:t xml:space="preserve">above, this oil is </w:t>
      </w:r>
      <w:r w:rsidR="00FE159C" w:rsidRPr="00622335">
        <w:rPr>
          <w:lang w:val="en-GB"/>
        </w:rPr>
        <w:t xml:space="preserve">generally </w:t>
      </w:r>
      <w:r w:rsidRPr="00622335">
        <w:rPr>
          <w:lang w:val="en-GB"/>
        </w:rPr>
        <w:t xml:space="preserve">similar in </w:t>
      </w:r>
      <w:r w:rsidR="00FE159C" w:rsidRPr="00622335">
        <w:rPr>
          <w:lang w:val="en-GB"/>
        </w:rPr>
        <w:t xml:space="preserve">fatty acid </w:t>
      </w:r>
      <w:r w:rsidRPr="00622335">
        <w:rPr>
          <w:lang w:val="en-GB"/>
        </w:rPr>
        <w:t>composition to other DHA-rich algal oils. Consideration was given as to whether further specifications or adjustment of specifications to those included in section S3</w:t>
      </w:r>
      <w:r w:rsidR="00FE490D">
        <w:rPr>
          <w:rFonts w:cs="Arial"/>
          <w:lang w:val="en-GB"/>
        </w:rPr>
        <w:t>—</w:t>
      </w:r>
      <w:r w:rsidRPr="00622335">
        <w:rPr>
          <w:lang w:val="en-GB"/>
        </w:rPr>
        <w:t>21 were required.</w:t>
      </w:r>
      <w:r w:rsidRPr="00622335">
        <w:rPr>
          <w:rFonts w:eastAsia="Calibri"/>
          <w:lang w:val="en-GB" w:bidi="ar-SA"/>
        </w:rPr>
        <w:t xml:space="preserve"> </w:t>
      </w:r>
      <w:r w:rsidR="00BE3399">
        <w:rPr>
          <w:rFonts w:eastAsia="Calibri"/>
          <w:lang w:val="en-GB" w:bidi="ar-SA"/>
        </w:rPr>
        <w:br w:type="page"/>
      </w:r>
    </w:p>
    <w:p w14:paraId="05EB8473" w14:textId="18509E49" w:rsidR="00CB73A8" w:rsidRPr="00622335" w:rsidRDefault="00CB73A8" w:rsidP="00CB73A8">
      <w:pPr>
        <w:rPr>
          <w:lang w:val="en-GB"/>
        </w:rPr>
      </w:pPr>
      <w:r w:rsidRPr="00622335">
        <w:rPr>
          <w:lang w:val="en-GB"/>
        </w:rPr>
        <w:lastRenderedPageBreak/>
        <w:t>Table 2.</w:t>
      </w:r>
      <w:r w:rsidR="00891F8B" w:rsidRPr="00622335">
        <w:rPr>
          <w:lang w:val="en-GB"/>
        </w:rPr>
        <w:t>2</w:t>
      </w:r>
      <w:r w:rsidRPr="00622335">
        <w:rPr>
          <w:lang w:val="en-GB"/>
        </w:rPr>
        <w:t xml:space="preserve"> shows detailed specifications for </w:t>
      </w:r>
      <w:r w:rsidR="00D85B16" w:rsidRPr="00622335">
        <w:rPr>
          <w:lang w:val="en-GB"/>
        </w:rPr>
        <w:t>DHA-B</w:t>
      </w:r>
      <w:r w:rsidRPr="00622335">
        <w:rPr>
          <w:lang w:val="en-GB"/>
        </w:rPr>
        <w:t xml:space="preserve"> and also that it complies with the specifications in section S3</w:t>
      </w:r>
      <w:r w:rsidR="00FE490D">
        <w:rPr>
          <w:rFonts w:cs="Arial"/>
          <w:lang w:val="en-GB"/>
        </w:rPr>
        <w:t>—</w:t>
      </w:r>
      <w:r w:rsidRPr="00622335">
        <w:rPr>
          <w:lang w:val="en-GB"/>
        </w:rPr>
        <w:t>21.</w:t>
      </w:r>
      <w:r w:rsidR="00427307" w:rsidRPr="00622335">
        <w:rPr>
          <w:lang w:val="en-GB"/>
        </w:rPr>
        <w:t xml:space="preserve"> The </w:t>
      </w:r>
      <w:r w:rsidR="00200B76">
        <w:rPr>
          <w:lang w:val="en-GB"/>
        </w:rPr>
        <w:t>Applicant</w:t>
      </w:r>
      <w:r w:rsidR="00427307" w:rsidRPr="00622335">
        <w:rPr>
          <w:lang w:val="en-GB"/>
        </w:rPr>
        <w:t xml:space="preserve"> provided an analysis of five separate DHA-B lots to indicate that the manufacturing process results in a consistent product (Table 2.1).</w:t>
      </w:r>
    </w:p>
    <w:p w14:paraId="3744DBC3" w14:textId="77777777" w:rsidR="00CB73A8" w:rsidRPr="00622335" w:rsidRDefault="00CB73A8" w:rsidP="00CB73A8">
      <w:pPr>
        <w:rPr>
          <w:lang w:val="en-GB"/>
        </w:rPr>
      </w:pPr>
    </w:p>
    <w:p w14:paraId="4FDF12DF" w14:textId="5E5C8E39" w:rsidR="00CB73A8" w:rsidRPr="00622335" w:rsidRDefault="00CB73A8" w:rsidP="00CB73A8">
      <w:pPr>
        <w:rPr>
          <w:lang w:val="en-GB"/>
        </w:rPr>
      </w:pPr>
      <w:r w:rsidRPr="00622335">
        <w:rPr>
          <w:lang w:val="en-GB"/>
        </w:rPr>
        <w:t xml:space="preserve">The main differences between </w:t>
      </w:r>
      <w:r w:rsidR="00D85B16" w:rsidRPr="00622335">
        <w:rPr>
          <w:lang w:val="en-GB"/>
        </w:rPr>
        <w:t>DHA-B</w:t>
      </w:r>
      <w:r w:rsidRPr="00622335">
        <w:rPr>
          <w:lang w:val="en-GB"/>
        </w:rPr>
        <w:t xml:space="preserve"> and the specification levels set by FSANZ in section S3</w:t>
      </w:r>
      <w:r w:rsidR="00FE490D">
        <w:rPr>
          <w:rFonts w:cs="Arial"/>
          <w:lang w:val="en-GB"/>
        </w:rPr>
        <w:t>—</w:t>
      </w:r>
      <w:r w:rsidRPr="00622335">
        <w:rPr>
          <w:lang w:val="en-GB"/>
        </w:rPr>
        <w:t>21 are:</w:t>
      </w:r>
    </w:p>
    <w:p w14:paraId="3BE3CC61" w14:textId="77777777" w:rsidR="00CB73A8" w:rsidRPr="00622335" w:rsidRDefault="00CB73A8" w:rsidP="00CB73A8">
      <w:pPr>
        <w:rPr>
          <w:lang w:val="en-GB"/>
        </w:rPr>
      </w:pPr>
    </w:p>
    <w:p w14:paraId="29F789DD" w14:textId="36A0760A" w:rsidR="002F60D4" w:rsidRDefault="00D85B16" w:rsidP="00A25545">
      <w:pPr>
        <w:pStyle w:val="FSBullet1"/>
      </w:pPr>
      <w:r w:rsidRPr="00A25545">
        <w:t>DHA-B</w:t>
      </w:r>
      <w:r w:rsidR="00CB73A8" w:rsidRPr="00A25545">
        <w:t xml:space="preserve"> contains approximately 40% DHA oil, with its specification stating a minimum of 35% DHA content</w:t>
      </w:r>
      <w:r w:rsidR="002F60D4" w:rsidRPr="00A25545">
        <w:t>; compared to</w:t>
      </w:r>
      <w:r w:rsidR="00F35DF1" w:rsidRPr="00A25545">
        <w:t xml:space="preserve"> </w:t>
      </w:r>
      <w:r w:rsidR="002F60D4" w:rsidRPr="00A25545">
        <w:t xml:space="preserve">the </w:t>
      </w:r>
      <w:r w:rsidR="00CB73A8" w:rsidRPr="00A25545">
        <w:t xml:space="preserve">current specification in the Code </w:t>
      </w:r>
      <w:r w:rsidR="002F60D4" w:rsidRPr="00A25545">
        <w:t xml:space="preserve">of </w:t>
      </w:r>
      <w:r w:rsidR="00CB73A8" w:rsidRPr="00A25545">
        <w:t>a minimum requirement of 32%.</w:t>
      </w:r>
    </w:p>
    <w:p w14:paraId="6A027359" w14:textId="77777777" w:rsidR="00BE3399" w:rsidRPr="00BE3399" w:rsidRDefault="00BE3399" w:rsidP="00BE3399">
      <w:pPr>
        <w:rPr>
          <w:lang w:bidi="ar-SA"/>
        </w:rPr>
      </w:pPr>
    </w:p>
    <w:p w14:paraId="3822A5A7" w14:textId="289F1E24" w:rsidR="002F60D4" w:rsidRPr="00A25545" w:rsidRDefault="00CB73A8" w:rsidP="00A25545">
      <w:pPr>
        <w:pStyle w:val="FSBullet1"/>
      </w:pPr>
      <w:r w:rsidRPr="00A25545">
        <w:t>the level of trans</w:t>
      </w:r>
      <w:r w:rsidR="001D3BFC" w:rsidRPr="00A25545">
        <w:t xml:space="preserve"> </w:t>
      </w:r>
      <w:r w:rsidR="00F22D0A" w:rsidRPr="00A25545">
        <w:t>fatty</w:t>
      </w:r>
      <w:r w:rsidRPr="00A25545">
        <w:t xml:space="preserve"> acids </w:t>
      </w:r>
      <w:r w:rsidR="00A565AE" w:rsidRPr="00A25545">
        <w:t xml:space="preserve">listed in the application </w:t>
      </w:r>
      <w:r w:rsidRPr="00A25545">
        <w:t xml:space="preserve">in </w:t>
      </w:r>
      <w:r w:rsidR="00D85B16" w:rsidRPr="00A25545">
        <w:t>DHA-B</w:t>
      </w:r>
      <w:r w:rsidRPr="00A25545">
        <w:t xml:space="preserve"> is 3.5%, </w:t>
      </w:r>
      <w:r w:rsidR="00A565AE" w:rsidRPr="00A25545">
        <w:t xml:space="preserve">however </w:t>
      </w:r>
      <w:r w:rsidR="00B21591" w:rsidRPr="00A25545">
        <w:t xml:space="preserve">since submitted the Application, </w:t>
      </w:r>
      <w:r w:rsidR="00A565AE" w:rsidRPr="00A25545">
        <w:t xml:space="preserve">the </w:t>
      </w:r>
      <w:r w:rsidR="00200B76">
        <w:t>Applicant</w:t>
      </w:r>
      <w:r w:rsidR="00A565AE" w:rsidRPr="00A25545">
        <w:t xml:space="preserve"> has advised in writing that </w:t>
      </w:r>
      <w:r w:rsidR="003B38D3" w:rsidRPr="00A25545">
        <w:t>the correct figure is &lt;1%</w:t>
      </w:r>
      <w:r w:rsidR="00A565AE" w:rsidRPr="00A25545">
        <w:t xml:space="preserve">. The </w:t>
      </w:r>
      <w:r w:rsidRPr="00A25545">
        <w:t xml:space="preserve">analytical results </w:t>
      </w:r>
      <w:r w:rsidR="00E36321" w:rsidRPr="00A25545">
        <w:t>for DHA-B</w:t>
      </w:r>
      <w:r w:rsidR="00A565AE" w:rsidRPr="00A25545">
        <w:t xml:space="preserve"> </w:t>
      </w:r>
      <w:r w:rsidRPr="00A25545">
        <w:t>show that trans</w:t>
      </w:r>
      <w:r w:rsidR="000C0504" w:rsidRPr="00A25545">
        <w:t xml:space="preserve"> </w:t>
      </w:r>
      <w:r w:rsidR="00F22D0A" w:rsidRPr="00A25545">
        <w:t>fatty</w:t>
      </w:r>
      <w:r w:rsidRPr="00A25545">
        <w:t xml:space="preserve"> acids were </w:t>
      </w:r>
      <w:r w:rsidR="00A565AE" w:rsidRPr="00A25545">
        <w:t xml:space="preserve">all </w:t>
      </w:r>
      <w:r w:rsidRPr="00A25545">
        <w:t xml:space="preserve">below </w:t>
      </w:r>
      <w:r w:rsidR="00A565AE" w:rsidRPr="00A25545">
        <w:t>1</w:t>
      </w:r>
      <w:r w:rsidRPr="00A25545">
        <w:t>%</w:t>
      </w:r>
      <w:r w:rsidR="00A565AE" w:rsidRPr="00A25545">
        <w:t xml:space="preserve"> (refer to </w:t>
      </w:r>
      <w:r w:rsidR="00200B76" w:rsidRPr="00A25545">
        <w:t xml:space="preserve">Table </w:t>
      </w:r>
      <w:r w:rsidR="00A565AE" w:rsidRPr="00A25545">
        <w:t>2.2 below)</w:t>
      </w:r>
      <w:r w:rsidR="00EC62FF" w:rsidRPr="00A25545">
        <w:t>.</w:t>
      </w:r>
      <w:r w:rsidR="003815A1" w:rsidRPr="00A25545">
        <w:t xml:space="preserve"> </w:t>
      </w:r>
    </w:p>
    <w:p w14:paraId="04E424BD" w14:textId="584643B7" w:rsidR="00F40EB1" w:rsidRPr="00622335" w:rsidRDefault="00F40EB1" w:rsidP="00F40EB1">
      <w:pPr>
        <w:rPr>
          <w:rFonts w:eastAsia="Calibri"/>
          <w:lang w:val="en-GB" w:bidi="ar-SA"/>
        </w:rPr>
      </w:pPr>
    </w:p>
    <w:p w14:paraId="3F6214E4" w14:textId="77777777" w:rsidR="00F40EB1" w:rsidRDefault="00F40EB1" w:rsidP="00F40EB1">
      <w:pPr>
        <w:pStyle w:val="FSTableTitle"/>
        <w:rPr>
          <w:lang w:val="en-GB"/>
        </w:rPr>
      </w:pPr>
      <w:r w:rsidRPr="00622335">
        <w:rPr>
          <w:lang w:val="en-GB"/>
        </w:rPr>
        <w:t xml:space="preserve">Table 2.2: Analysis of the oil </w:t>
      </w:r>
    </w:p>
    <w:p w14:paraId="2460B436" w14:textId="77777777" w:rsidR="00FE490D" w:rsidRPr="00622335" w:rsidRDefault="00FE490D" w:rsidP="00622335">
      <w:pPr>
        <w:rPr>
          <w:lang w:val="en-GB"/>
        </w:rPr>
      </w:pPr>
    </w:p>
    <w:tbl>
      <w:tblPr>
        <w:tblW w:w="9158" w:type="dxa"/>
        <w:jc w:val="center"/>
        <w:tblBorders>
          <w:top w:val="single" w:sz="4" w:space="0" w:color="auto"/>
          <w:left w:val="single" w:sz="4" w:space="0" w:color="auto"/>
          <w:bottom w:val="single" w:sz="4" w:space="0" w:color="auto"/>
          <w:right w:val="single" w:sz="4" w:space="0" w:color="auto" w:shadow="1" w:frame="1"/>
        </w:tblBorders>
        <w:tblLook w:val="04A0" w:firstRow="1" w:lastRow="0" w:firstColumn="1" w:lastColumn="0" w:noHBand="0" w:noVBand="1"/>
        <w:tblCaption w:val="Analysis of the oil "/>
        <w:tblDescription w:val="Table 2.2 shows detailed specifications for DHA-B and also that it complies with the specifications in section S3-21 the Code. The applicant provided an analysis of five separate DHA-B lots to indicate that the manufacturing process results in a consistent product (Table 2.1)."/>
      </w:tblPr>
      <w:tblGrid>
        <w:gridCol w:w="1806"/>
        <w:gridCol w:w="1065"/>
        <w:gridCol w:w="1421"/>
        <w:gridCol w:w="1119"/>
        <w:gridCol w:w="820"/>
        <w:gridCol w:w="736"/>
        <w:gridCol w:w="736"/>
        <w:gridCol w:w="736"/>
        <w:gridCol w:w="719"/>
      </w:tblGrid>
      <w:tr w:rsidR="00F40EB1" w:rsidRPr="00DE5269" w14:paraId="71339007" w14:textId="77777777" w:rsidTr="00622335">
        <w:trPr>
          <w:cantSplit/>
          <w:trHeight w:val="284"/>
          <w:tblHeader/>
          <w:jc w:val="center"/>
        </w:trPr>
        <w:tc>
          <w:tcPr>
            <w:tcW w:w="2871" w:type="dxa"/>
            <w:gridSpan w:val="2"/>
            <w:vMerge w:val="restart"/>
            <w:shd w:val="clear" w:color="auto" w:fill="C6D9F1" w:themeFill="text2" w:themeFillTint="33"/>
            <w:noWrap/>
            <w:vAlign w:val="center"/>
            <w:hideMark/>
          </w:tcPr>
          <w:p w14:paraId="30C84B71"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Tests</w:t>
            </w:r>
          </w:p>
        </w:tc>
        <w:tc>
          <w:tcPr>
            <w:tcW w:w="1421" w:type="dxa"/>
            <w:vMerge w:val="restart"/>
            <w:shd w:val="clear" w:color="auto" w:fill="C6D9F1" w:themeFill="text2" w:themeFillTint="33"/>
            <w:vAlign w:val="center"/>
            <w:hideMark/>
          </w:tcPr>
          <w:p w14:paraId="0F02F503"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 xml:space="preserve">DSM Specification for the oil </w:t>
            </w:r>
          </w:p>
        </w:tc>
        <w:tc>
          <w:tcPr>
            <w:tcW w:w="1119" w:type="dxa"/>
            <w:vMerge w:val="restart"/>
            <w:shd w:val="clear" w:color="auto" w:fill="C6D9F1" w:themeFill="text2" w:themeFillTint="33"/>
            <w:vAlign w:val="center"/>
            <w:hideMark/>
          </w:tcPr>
          <w:p w14:paraId="7F7E2816"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Limit of detection</w:t>
            </w:r>
          </w:p>
        </w:tc>
        <w:tc>
          <w:tcPr>
            <w:tcW w:w="3747" w:type="dxa"/>
            <w:gridSpan w:val="5"/>
            <w:vMerge w:val="restart"/>
            <w:shd w:val="clear" w:color="auto" w:fill="C6D9F1" w:themeFill="text2" w:themeFillTint="33"/>
            <w:vAlign w:val="center"/>
            <w:hideMark/>
          </w:tcPr>
          <w:p w14:paraId="25D4D672"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DHA algal oil test results (from DSM)</w:t>
            </w:r>
          </w:p>
        </w:tc>
      </w:tr>
      <w:tr w:rsidR="00F40EB1" w:rsidRPr="00DE5269" w14:paraId="14D328AC" w14:textId="77777777" w:rsidTr="00622335">
        <w:trPr>
          <w:cantSplit/>
          <w:trHeight w:val="284"/>
          <w:tblHeader/>
          <w:jc w:val="center"/>
        </w:trPr>
        <w:tc>
          <w:tcPr>
            <w:tcW w:w="2871" w:type="dxa"/>
            <w:gridSpan w:val="2"/>
            <w:vMerge/>
            <w:shd w:val="clear" w:color="auto" w:fill="C6D9F1" w:themeFill="text2" w:themeFillTint="33"/>
            <w:vAlign w:val="center"/>
            <w:hideMark/>
          </w:tcPr>
          <w:p w14:paraId="62295AB8" w14:textId="77777777" w:rsidR="00F40EB1" w:rsidRPr="00622335" w:rsidRDefault="00F40EB1" w:rsidP="00F40EB1">
            <w:pPr>
              <w:widowControl/>
              <w:jc w:val="center"/>
              <w:rPr>
                <w:rFonts w:eastAsia="Calibri"/>
                <w:b/>
                <w:sz w:val="18"/>
                <w:szCs w:val="18"/>
                <w:lang w:val="en-GB" w:bidi="ar-SA"/>
              </w:rPr>
            </w:pPr>
          </w:p>
        </w:tc>
        <w:tc>
          <w:tcPr>
            <w:tcW w:w="1421" w:type="dxa"/>
            <w:vMerge/>
            <w:shd w:val="clear" w:color="auto" w:fill="C6D9F1" w:themeFill="text2" w:themeFillTint="33"/>
            <w:vAlign w:val="center"/>
            <w:hideMark/>
          </w:tcPr>
          <w:p w14:paraId="678A408C" w14:textId="77777777" w:rsidR="00F40EB1" w:rsidRPr="00622335" w:rsidRDefault="00F40EB1" w:rsidP="00F40EB1">
            <w:pPr>
              <w:widowControl/>
              <w:jc w:val="center"/>
              <w:rPr>
                <w:rFonts w:eastAsia="Calibri"/>
                <w:b/>
                <w:sz w:val="18"/>
                <w:szCs w:val="18"/>
                <w:lang w:val="en-GB" w:bidi="ar-SA"/>
              </w:rPr>
            </w:pPr>
          </w:p>
        </w:tc>
        <w:tc>
          <w:tcPr>
            <w:tcW w:w="1119" w:type="dxa"/>
            <w:vMerge/>
            <w:shd w:val="clear" w:color="auto" w:fill="C6D9F1" w:themeFill="text2" w:themeFillTint="33"/>
            <w:vAlign w:val="center"/>
            <w:hideMark/>
          </w:tcPr>
          <w:p w14:paraId="3DDB36CB" w14:textId="77777777" w:rsidR="00F40EB1" w:rsidRPr="00622335" w:rsidRDefault="00F40EB1" w:rsidP="00F40EB1">
            <w:pPr>
              <w:widowControl/>
              <w:jc w:val="center"/>
              <w:rPr>
                <w:rFonts w:eastAsia="Calibri"/>
                <w:b/>
                <w:sz w:val="18"/>
                <w:szCs w:val="18"/>
                <w:lang w:val="en-GB" w:bidi="ar-SA"/>
              </w:rPr>
            </w:pPr>
          </w:p>
        </w:tc>
        <w:tc>
          <w:tcPr>
            <w:tcW w:w="3747" w:type="dxa"/>
            <w:gridSpan w:val="5"/>
            <w:vMerge/>
            <w:shd w:val="clear" w:color="auto" w:fill="C6D9F1" w:themeFill="text2" w:themeFillTint="33"/>
            <w:vAlign w:val="center"/>
            <w:hideMark/>
          </w:tcPr>
          <w:p w14:paraId="1DD1CDDC" w14:textId="77777777" w:rsidR="00F40EB1" w:rsidRPr="00622335" w:rsidRDefault="00F40EB1" w:rsidP="00F40EB1">
            <w:pPr>
              <w:widowControl/>
              <w:jc w:val="center"/>
              <w:rPr>
                <w:rFonts w:eastAsia="Calibri"/>
                <w:b/>
                <w:sz w:val="18"/>
                <w:szCs w:val="18"/>
                <w:lang w:val="en-GB" w:bidi="ar-SA"/>
              </w:rPr>
            </w:pPr>
          </w:p>
        </w:tc>
      </w:tr>
      <w:tr w:rsidR="00F40EB1" w:rsidRPr="00DE5269" w14:paraId="45A63194" w14:textId="77777777" w:rsidTr="00622335">
        <w:trPr>
          <w:cantSplit/>
          <w:trHeight w:val="284"/>
          <w:tblHeader/>
          <w:jc w:val="center"/>
        </w:trPr>
        <w:tc>
          <w:tcPr>
            <w:tcW w:w="2871" w:type="dxa"/>
            <w:gridSpan w:val="2"/>
            <w:vMerge/>
            <w:tcBorders>
              <w:bottom w:val="single" w:sz="4" w:space="0" w:color="auto"/>
            </w:tcBorders>
            <w:shd w:val="clear" w:color="auto" w:fill="C6D9F1" w:themeFill="text2" w:themeFillTint="33"/>
            <w:vAlign w:val="center"/>
            <w:hideMark/>
          </w:tcPr>
          <w:p w14:paraId="03CC075C" w14:textId="77777777" w:rsidR="00F40EB1" w:rsidRPr="00622335" w:rsidRDefault="00F40EB1" w:rsidP="00F40EB1">
            <w:pPr>
              <w:widowControl/>
              <w:jc w:val="center"/>
              <w:rPr>
                <w:rFonts w:eastAsia="Calibri"/>
                <w:b/>
                <w:sz w:val="18"/>
                <w:szCs w:val="18"/>
                <w:lang w:val="en-GB" w:bidi="ar-SA"/>
              </w:rPr>
            </w:pPr>
          </w:p>
        </w:tc>
        <w:tc>
          <w:tcPr>
            <w:tcW w:w="1421" w:type="dxa"/>
            <w:vMerge/>
            <w:tcBorders>
              <w:bottom w:val="single" w:sz="4" w:space="0" w:color="auto"/>
            </w:tcBorders>
            <w:shd w:val="clear" w:color="auto" w:fill="C6D9F1" w:themeFill="text2" w:themeFillTint="33"/>
            <w:vAlign w:val="center"/>
            <w:hideMark/>
          </w:tcPr>
          <w:p w14:paraId="454302BA" w14:textId="77777777" w:rsidR="00F40EB1" w:rsidRPr="00622335" w:rsidRDefault="00F40EB1" w:rsidP="00F40EB1">
            <w:pPr>
              <w:widowControl/>
              <w:jc w:val="center"/>
              <w:rPr>
                <w:rFonts w:eastAsia="Calibri"/>
                <w:b/>
                <w:sz w:val="18"/>
                <w:szCs w:val="18"/>
                <w:lang w:val="en-GB" w:bidi="ar-SA"/>
              </w:rPr>
            </w:pPr>
          </w:p>
        </w:tc>
        <w:tc>
          <w:tcPr>
            <w:tcW w:w="1119" w:type="dxa"/>
            <w:vMerge/>
            <w:tcBorders>
              <w:bottom w:val="single" w:sz="4" w:space="0" w:color="auto"/>
            </w:tcBorders>
            <w:shd w:val="clear" w:color="auto" w:fill="C6D9F1" w:themeFill="text2" w:themeFillTint="33"/>
            <w:vAlign w:val="center"/>
            <w:hideMark/>
          </w:tcPr>
          <w:p w14:paraId="36CC7D27" w14:textId="77777777" w:rsidR="00F40EB1" w:rsidRPr="00622335" w:rsidRDefault="00F40EB1" w:rsidP="00F40EB1">
            <w:pPr>
              <w:widowControl/>
              <w:jc w:val="center"/>
              <w:rPr>
                <w:rFonts w:eastAsia="Calibri"/>
                <w:b/>
                <w:sz w:val="18"/>
                <w:szCs w:val="18"/>
                <w:lang w:val="en-GB" w:bidi="ar-SA"/>
              </w:rPr>
            </w:pPr>
          </w:p>
        </w:tc>
        <w:tc>
          <w:tcPr>
            <w:tcW w:w="820" w:type="dxa"/>
            <w:tcBorders>
              <w:bottom w:val="single" w:sz="4" w:space="0" w:color="auto"/>
            </w:tcBorders>
            <w:shd w:val="clear" w:color="auto" w:fill="C6D9F1" w:themeFill="text2" w:themeFillTint="33"/>
            <w:noWrap/>
            <w:vAlign w:val="center"/>
            <w:hideMark/>
          </w:tcPr>
          <w:p w14:paraId="5DEA0401"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08-6530</w:t>
            </w:r>
          </w:p>
        </w:tc>
        <w:tc>
          <w:tcPr>
            <w:tcW w:w="736" w:type="dxa"/>
            <w:tcBorders>
              <w:bottom w:val="single" w:sz="4" w:space="0" w:color="auto"/>
            </w:tcBorders>
            <w:shd w:val="clear" w:color="auto" w:fill="C6D9F1" w:themeFill="text2" w:themeFillTint="33"/>
            <w:noWrap/>
            <w:vAlign w:val="center"/>
            <w:hideMark/>
          </w:tcPr>
          <w:p w14:paraId="75A87519"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08-6586</w:t>
            </w:r>
          </w:p>
        </w:tc>
        <w:tc>
          <w:tcPr>
            <w:tcW w:w="736" w:type="dxa"/>
            <w:tcBorders>
              <w:bottom w:val="single" w:sz="4" w:space="0" w:color="auto"/>
            </w:tcBorders>
            <w:shd w:val="clear" w:color="auto" w:fill="C6D9F1" w:themeFill="text2" w:themeFillTint="33"/>
            <w:noWrap/>
            <w:vAlign w:val="center"/>
            <w:hideMark/>
          </w:tcPr>
          <w:p w14:paraId="5AA13F02"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08-6585</w:t>
            </w:r>
          </w:p>
        </w:tc>
        <w:tc>
          <w:tcPr>
            <w:tcW w:w="736" w:type="dxa"/>
            <w:tcBorders>
              <w:bottom w:val="single" w:sz="4" w:space="0" w:color="auto"/>
            </w:tcBorders>
            <w:shd w:val="clear" w:color="auto" w:fill="C6D9F1" w:themeFill="text2" w:themeFillTint="33"/>
            <w:noWrap/>
            <w:vAlign w:val="center"/>
            <w:hideMark/>
          </w:tcPr>
          <w:p w14:paraId="76FB2463"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08-6592</w:t>
            </w:r>
          </w:p>
        </w:tc>
        <w:tc>
          <w:tcPr>
            <w:tcW w:w="719" w:type="dxa"/>
            <w:tcBorders>
              <w:bottom w:val="single" w:sz="4" w:space="0" w:color="auto"/>
            </w:tcBorders>
            <w:shd w:val="clear" w:color="auto" w:fill="C6D9F1" w:themeFill="text2" w:themeFillTint="33"/>
            <w:noWrap/>
            <w:vAlign w:val="center"/>
            <w:hideMark/>
          </w:tcPr>
          <w:p w14:paraId="1BAFE30D" w14:textId="77777777" w:rsidR="00F40EB1" w:rsidRPr="00622335" w:rsidRDefault="00F40EB1" w:rsidP="00F40EB1">
            <w:pPr>
              <w:widowControl/>
              <w:jc w:val="center"/>
              <w:rPr>
                <w:rFonts w:eastAsia="Calibri"/>
                <w:b/>
                <w:sz w:val="18"/>
                <w:szCs w:val="18"/>
                <w:lang w:val="en-GB" w:bidi="ar-SA"/>
              </w:rPr>
            </w:pPr>
            <w:r w:rsidRPr="00622335">
              <w:rPr>
                <w:rFonts w:eastAsia="Calibri"/>
                <w:b/>
                <w:sz w:val="18"/>
                <w:szCs w:val="18"/>
                <w:lang w:val="en-GB" w:bidi="ar-SA"/>
              </w:rPr>
              <w:t>08-6643</w:t>
            </w:r>
          </w:p>
        </w:tc>
      </w:tr>
      <w:tr w:rsidR="00F40EB1" w:rsidRPr="00DE5269" w14:paraId="55B98255"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13C8DC07"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DHA</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A32E"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DCBF"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Min. 35.0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7EB3"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N/A</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87DA"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44.35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5C1D"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42.65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17490"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42.96</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1A2B7"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41.23</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BF742" w14:textId="77777777" w:rsidR="00F40EB1" w:rsidRPr="00622335" w:rsidRDefault="00F40EB1" w:rsidP="00F40EB1">
            <w:pPr>
              <w:widowControl/>
              <w:jc w:val="center"/>
              <w:rPr>
                <w:rFonts w:eastAsia="Calibri"/>
                <w:sz w:val="18"/>
                <w:szCs w:val="18"/>
                <w:lang w:val="en-GB" w:bidi="ar-SA"/>
              </w:rPr>
            </w:pPr>
            <w:r w:rsidRPr="00622335">
              <w:rPr>
                <w:rFonts w:eastAsia="Calibri"/>
                <w:sz w:val="18"/>
                <w:szCs w:val="18"/>
                <w:lang w:val="en-GB" w:bidi="ar-SA"/>
              </w:rPr>
              <w:t>45.71</w:t>
            </w:r>
          </w:p>
        </w:tc>
      </w:tr>
      <w:tr w:rsidR="00F40EB1" w:rsidRPr="00DE5269" w14:paraId="3679A2EF"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48C9CB2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EPA</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43E1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A96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10.0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6E031"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3872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5.90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4A45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6.10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211F3"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6.43</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7576B"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6.10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69E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6.61</w:t>
            </w:r>
          </w:p>
        </w:tc>
      </w:tr>
      <w:tr w:rsidR="00F40EB1" w:rsidRPr="00DE5269" w14:paraId="330CDC3A"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736C6BA2"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Free fatty acids</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A2AA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10E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0.40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DFF32"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0.005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4063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0.07</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5F1A"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3578"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324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0.07</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BC1F5"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0.13</w:t>
            </w:r>
          </w:p>
        </w:tc>
      </w:tr>
      <w:tr w:rsidR="00F40EB1" w:rsidRPr="00DE5269" w14:paraId="42B26FA9"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0F69591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Peroxide Value</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8DC9"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(meq/kg)</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4E55"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5.00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8E573"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0.10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74D0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0.40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21F4"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3786"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FE2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6F85A"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r>
      <w:tr w:rsidR="00F40EB1" w:rsidRPr="00DE5269" w14:paraId="61622CE1"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52726D8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xml:space="preserve">Moisture and volatiles </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FAFC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1F51"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0.02</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64A15"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D16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365F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A77D"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57A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680A5"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r>
      <w:tr w:rsidR="00F40EB1" w:rsidRPr="00DE5269" w14:paraId="6995B8EC"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0E60A602"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Unsaponifiables</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D4E4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0D26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3.50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C19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0B2D3"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0.97</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8EA86"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0.96</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CE0D"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0.88</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AB7A"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0.78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5099"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0.88</w:t>
            </w:r>
          </w:p>
        </w:tc>
      </w:tr>
      <w:tr w:rsidR="00F40EB1" w:rsidRPr="00DE5269" w14:paraId="3011A8B6"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2FE4308B"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Trans fatty acids</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132B"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4E2F" w14:textId="293D6994" w:rsidR="00F40EB1" w:rsidRPr="00622335" w:rsidRDefault="00C20055" w:rsidP="00F40EB1">
            <w:pPr>
              <w:widowControl/>
              <w:jc w:val="center"/>
              <w:rPr>
                <w:rFonts w:cs="Arial"/>
                <w:color w:val="000000" w:themeColor="text1"/>
                <w:sz w:val="18"/>
                <w:szCs w:val="18"/>
                <w:lang w:val="en-GB" w:eastAsia="en-NZ" w:bidi="ar-SA"/>
              </w:rPr>
            </w:pPr>
            <w:r w:rsidRPr="00622335">
              <w:rPr>
                <w:rFonts w:cs="Arial"/>
                <w:color w:val="000000" w:themeColor="text1"/>
                <w:sz w:val="18"/>
                <w:szCs w:val="18"/>
                <w:lang w:val="en-GB" w:eastAsia="en-NZ" w:bidi="ar-SA"/>
              </w:rPr>
              <w:t>Max. 1.00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3AB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1.00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B5511"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B52E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418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507A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&lt;1.0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8EE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&lt;1.0</w:t>
            </w:r>
          </w:p>
        </w:tc>
      </w:tr>
      <w:tr w:rsidR="00F40EB1" w:rsidRPr="00DE5269" w14:paraId="47AC161C"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308211B4"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Arsenic</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FA1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(mg/kg)</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FF3B6"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0.10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55F2B"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0.10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A42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3F9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6114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7158"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3038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r>
      <w:tr w:rsidR="00F40EB1" w:rsidRPr="00DE5269" w14:paraId="4E16ECA3"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2FD8FA81"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Cadmium</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EE189"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(mg/kg)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F00D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0.10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0EBB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0.10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8AD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13406"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7C75"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69C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9F8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r>
      <w:tr w:rsidR="00F40EB1" w:rsidRPr="00DE5269" w14:paraId="39ACAB3C"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608106F3"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Copper</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47B08"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(mg/kg)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0CB2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0.10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856B"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0.02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2E5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3A81A"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4BCA5"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5DF8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2DB8"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&lt;0.02</w:t>
            </w:r>
          </w:p>
        </w:tc>
      </w:tr>
      <w:tr w:rsidR="00F40EB1" w:rsidRPr="00DE5269" w14:paraId="6F3FC171"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3031E9E6"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Iron</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F2E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(mg/kg)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3872"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0.20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2251"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0.02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3A0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0.04</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8FD0"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F3E8"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E0D9"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0.03</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ACF4E"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0.04</w:t>
            </w:r>
          </w:p>
        </w:tc>
      </w:tr>
      <w:tr w:rsidR="00F40EB1" w:rsidRPr="00DE5269" w14:paraId="2090B49C"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7BED11A5"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Mercury</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E20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(mg/kg)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D0F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0.04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193A"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0.01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8C36D"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0217"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30FDB"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4D28"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B01B"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&lt;0.01</w:t>
            </w:r>
          </w:p>
        </w:tc>
      </w:tr>
      <w:tr w:rsidR="00F40EB1" w:rsidRPr="00DE5269" w14:paraId="33D5B05E" w14:textId="77777777" w:rsidTr="00622335">
        <w:trPr>
          <w:cantSplit/>
          <w:trHeight w:val="284"/>
          <w:jc w:val="center"/>
        </w:trPr>
        <w:tc>
          <w:tcPr>
            <w:tcW w:w="1806" w:type="dxa"/>
            <w:tcBorders>
              <w:top w:val="single" w:sz="4" w:space="0" w:color="auto"/>
              <w:bottom w:val="single" w:sz="4" w:space="0" w:color="auto"/>
              <w:right w:val="single" w:sz="4" w:space="0" w:color="auto"/>
            </w:tcBorders>
            <w:shd w:val="clear" w:color="auto" w:fill="auto"/>
            <w:noWrap/>
            <w:vAlign w:val="center"/>
            <w:hideMark/>
          </w:tcPr>
          <w:p w14:paraId="6A6D8303"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Lead</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E8BA"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(mg/kg)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7EADC"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Max. 0.10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B1B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 0.10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4AC39"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FD9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7A6D"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943F"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F6E6" w14:textId="77777777" w:rsidR="00F40EB1" w:rsidRPr="00622335" w:rsidRDefault="00F40EB1" w:rsidP="00F40EB1">
            <w:pPr>
              <w:widowControl/>
              <w:jc w:val="center"/>
              <w:rPr>
                <w:rFonts w:cs="Arial"/>
                <w:color w:val="000000"/>
                <w:sz w:val="18"/>
                <w:szCs w:val="18"/>
                <w:lang w:val="en-GB" w:eastAsia="en-NZ" w:bidi="ar-SA"/>
              </w:rPr>
            </w:pPr>
            <w:r w:rsidRPr="00622335">
              <w:rPr>
                <w:rFonts w:cs="Arial"/>
                <w:color w:val="000000"/>
                <w:sz w:val="18"/>
                <w:szCs w:val="18"/>
                <w:lang w:val="en-GB" w:eastAsia="en-NZ" w:bidi="ar-SA"/>
              </w:rPr>
              <w:t>&lt;0.1</w:t>
            </w:r>
          </w:p>
        </w:tc>
      </w:tr>
    </w:tbl>
    <w:p w14:paraId="27DBE5AF" w14:textId="70F3658D" w:rsidR="00F40EB1" w:rsidRDefault="00F40EB1" w:rsidP="00F40EB1">
      <w:pPr>
        <w:rPr>
          <w:lang w:val="en-GB"/>
        </w:rPr>
      </w:pPr>
    </w:p>
    <w:p w14:paraId="72C3FC11" w14:textId="77777777" w:rsidR="00A25545" w:rsidRDefault="00A25545" w:rsidP="00A25545">
      <w:pPr>
        <w:rPr>
          <w:lang w:val="en-GB"/>
        </w:rPr>
      </w:pPr>
    </w:p>
    <w:p w14:paraId="4FA5DE82" w14:textId="530B6AB3" w:rsidR="00A25545" w:rsidRDefault="00A25545" w:rsidP="00A25545">
      <w:pPr>
        <w:rPr>
          <w:lang w:val="en-GB"/>
        </w:rPr>
      </w:pPr>
      <w:r w:rsidRPr="00622335">
        <w:rPr>
          <w:lang w:val="en-GB"/>
        </w:rPr>
        <w:t>Paragraph 2.9.1—11(1)(c) specifies the ratio of EPA to DHA must not be less than 1:1. DHA-B meets this requirement, containing not more than 10% EPA and not less than 35.0% DHA; ensuring a ratio of 1:3.5 as a minimum as sho</w:t>
      </w:r>
      <w:r w:rsidR="009B4B55">
        <w:rPr>
          <w:lang w:val="en-GB"/>
        </w:rPr>
        <w:t>wn in Table 2.2. An average EPA:</w:t>
      </w:r>
      <w:r w:rsidRPr="00622335">
        <w:rPr>
          <w:lang w:val="en-GB"/>
        </w:rPr>
        <w:t xml:space="preserve">DHA ratio of </w:t>
      </w:r>
      <w:r w:rsidR="00200B76">
        <w:rPr>
          <w:lang w:val="en-GB"/>
        </w:rPr>
        <w:t xml:space="preserve">approximately </w:t>
      </w:r>
      <w:r w:rsidRPr="00622335">
        <w:rPr>
          <w:lang w:val="en-GB"/>
        </w:rPr>
        <w:t>1:</w:t>
      </w:r>
      <w:r w:rsidR="00200B76">
        <w:rPr>
          <w:lang w:val="en-GB"/>
        </w:rPr>
        <w:t>7</w:t>
      </w:r>
      <w:r w:rsidRPr="00622335">
        <w:rPr>
          <w:lang w:val="en-GB"/>
        </w:rPr>
        <w:t xml:space="preserve"> is observed across the five samples represented. </w:t>
      </w:r>
    </w:p>
    <w:p w14:paraId="2955F333" w14:textId="77777777" w:rsidR="00A25545" w:rsidRDefault="00A25545" w:rsidP="00A25545">
      <w:pPr>
        <w:rPr>
          <w:lang w:val="en-GB"/>
        </w:rPr>
      </w:pPr>
    </w:p>
    <w:p w14:paraId="615FBA6D" w14:textId="20D58FA6" w:rsidR="00A25545" w:rsidRPr="00622335" w:rsidRDefault="00A25545" w:rsidP="00A25545">
      <w:pPr>
        <w:rPr>
          <w:lang w:val="en-GB"/>
        </w:rPr>
      </w:pPr>
      <w:r w:rsidRPr="00622335">
        <w:rPr>
          <w:lang w:val="en-GB"/>
        </w:rPr>
        <w:t xml:space="preserve">The specification for DHA-B </w:t>
      </w:r>
      <w:r w:rsidRPr="00DE5269">
        <w:rPr>
          <w:lang w:val="en-GB"/>
        </w:rPr>
        <w:t>is</w:t>
      </w:r>
      <w:r w:rsidRPr="00DE5269">
        <w:rPr>
          <w:bCs/>
          <w:lang w:val="en-GB"/>
        </w:rPr>
        <w:t xml:space="preserve">: oil derived </w:t>
      </w:r>
      <w:r w:rsidRPr="00622335">
        <w:rPr>
          <w:lang w:val="en-GB"/>
        </w:rPr>
        <w:t xml:space="preserve">from </w:t>
      </w:r>
      <w:r w:rsidRPr="00DE5269">
        <w:rPr>
          <w:i/>
          <w:lang w:val="en-GB"/>
        </w:rPr>
        <w:t>Schizochytrium</w:t>
      </w:r>
      <w:r w:rsidRPr="00DE5269">
        <w:rPr>
          <w:lang w:val="en-GB"/>
        </w:rPr>
        <w:t xml:space="preserve"> sp.</w:t>
      </w:r>
      <w:r w:rsidRPr="00622335">
        <w:rPr>
          <w:lang w:val="en-GB"/>
        </w:rPr>
        <w:t xml:space="preserve"> (</w:t>
      </w:r>
      <w:r w:rsidRPr="00DE5269">
        <w:rPr>
          <w:lang w:val="en-GB"/>
        </w:rPr>
        <w:t xml:space="preserve">ATCC PTA-9695) </w:t>
      </w:r>
      <w:r w:rsidRPr="00622335">
        <w:rPr>
          <w:lang w:val="en-GB"/>
        </w:rPr>
        <w:t>rich in DHA.</w:t>
      </w:r>
    </w:p>
    <w:p w14:paraId="62C3BD48" w14:textId="64C8467D" w:rsidR="00F40EB1" w:rsidRPr="00A76FA6" w:rsidRDefault="00F40EB1" w:rsidP="00200B76">
      <w:pPr>
        <w:pStyle w:val="Heading2"/>
        <w:keepNext w:val="0"/>
        <w:keepLines w:val="0"/>
        <w:widowControl/>
      </w:pPr>
      <w:bookmarkStart w:id="25" w:name="_Toc464129769"/>
      <w:r w:rsidRPr="00FE490D">
        <w:t>2.5</w:t>
      </w:r>
      <w:r w:rsidRPr="00FE490D">
        <w:tab/>
        <w:t xml:space="preserve">Manufacturing </w:t>
      </w:r>
      <w:r w:rsidRPr="00A76FA6">
        <w:t>process</w:t>
      </w:r>
      <w:bookmarkEnd w:id="25"/>
    </w:p>
    <w:p w14:paraId="3CE70BF4" w14:textId="4E0F2AF6" w:rsidR="00BE3399" w:rsidRDefault="00F40EB1" w:rsidP="00200B76">
      <w:pPr>
        <w:widowControl/>
        <w:rPr>
          <w:rFonts w:eastAsia="Calibri"/>
          <w:lang w:val="en-GB" w:bidi="ar-SA"/>
        </w:rPr>
      </w:pPr>
      <w:r w:rsidRPr="00622335">
        <w:rPr>
          <w:rFonts w:eastAsia="Calibri"/>
          <w:lang w:val="en-GB" w:bidi="ar-SA"/>
        </w:rPr>
        <w:t xml:space="preserve">A flow chart of the manufacturing process for the oil is shown in Figure </w:t>
      </w:r>
      <w:r w:rsidR="00FA31C9">
        <w:rPr>
          <w:rFonts w:eastAsia="Calibri"/>
          <w:lang w:val="en-GB" w:bidi="ar-SA"/>
        </w:rPr>
        <w:t>2</w:t>
      </w:r>
      <w:r w:rsidRPr="00622335">
        <w:rPr>
          <w:rFonts w:eastAsia="Calibri"/>
          <w:lang w:val="en-GB" w:bidi="ar-SA"/>
        </w:rPr>
        <w:t xml:space="preserve">.1. </w:t>
      </w:r>
      <w:r w:rsidR="00622335" w:rsidRPr="00622335">
        <w:rPr>
          <w:rFonts w:eastAsia="Calibri"/>
          <w:lang w:val="en-GB" w:bidi="ar-SA"/>
        </w:rPr>
        <w:t xml:space="preserve">Following fermentation, the broth is collected in a centrifuge for further processing and pasteurisation. Enzymatic degradation of the algal cell walls by a food-grade protease is used to facilitate the release of the oil from the algae, followed by sodium chloride addition and centrifugation. </w:t>
      </w:r>
      <w:r w:rsidR="00BE3399">
        <w:rPr>
          <w:rFonts w:eastAsia="Calibri"/>
          <w:lang w:val="en-GB" w:bidi="ar-SA"/>
        </w:rPr>
        <w:br w:type="page"/>
      </w:r>
    </w:p>
    <w:p w14:paraId="5360480F" w14:textId="06C25361" w:rsidR="00622335" w:rsidRDefault="00622335" w:rsidP="00200B76">
      <w:pPr>
        <w:widowControl/>
        <w:rPr>
          <w:rFonts w:eastAsia="Calibri"/>
          <w:lang w:val="en-GB" w:bidi="ar-SA"/>
        </w:rPr>
      </w:pPr>
      <w:r w:rsidRPr="00622335">
        <w:rPr>
          <w:rFonts w:eastAsia="Calibri"/>
          <w:lang w:val="en-GB" w:bidi="ar-SA"/>
        </w:rPr>
        <w:lastRenderedPageBreak/>
        <w:t>The oil from the centrifuge is collected as the top (light) phase and the spent broth as the</w:t>
      </w:r>
      <w:r w:rsidRPr="00622335">
        <w:rPr>
          <w:rFonts w:eastAsia="Calibri"/>
          <w:b/>
          <w:bCs/>
          <w:lang w:val="en-GB" w:bidi="ar-SA"/>
        </w:rPr>
        <w:t xml:space="preserve"> </w:t>
      </w:r>
      <w:r w:rsidRPr="00622335">
        <w:rPr>
          <w:rFonts w:eastAsia="Calibri"/>
          <w:lang w:val="en-GB" w:bidi="ar-SA"/>
        </w:rPr>
        <w:t>lower (heavy) phase. The recovered oil is collected in the oil recovery tank and pumped into</w:t>
      </w:r>
      <w:r w:rsidRPr="00622335">
        <w:rPr>
          <w:rFonts w:eastAsia="Calibri"/>
          <w:b/>
          <w:bCs/>
          <w:lang w:val="en-GB" w:bidi="ar-SA"/>
        </w:rPr>
        <w:t xml:space="preserve"> </w:t>
      </w:r>
      <w:r w:rsidRPr="00622335">
        <w:rPr>
          <w:rFonts w:eastAsia="Calibri"/>
          <w:lang w:val="en-GB" w:bidi="ar-SA"/>
        </w:rPr>
        <w:t xml:space="preserve">a vacuum dryer, where it is dried under maximum vacuum. </w:t>
      </w:r>
    </w:p>
    <w:p w14:paraId="5EA8345B" w14:textId="77777777" w:rsidR="00A25545" w:rsidRPr="00622335" w:rsidRDefault="00A25545" w:rsidP="00200B76">
      <w:pPr>
        <w:widowControl/>
        <w:rPr>
          <w:rFonts w:eastAsia="Calibri"/>
          <w:lang w:val="en-GB" w:bidi="ar-SA"/>
        </w:rPr>
      </w:pPr>
    </w:p>
    <w:p w14:paraId="2FB95C90" w14:textId="77777777" w:rsidR="00622335" w:rsidRPr="00622335" w:rsidRDefault="00622335" w:rsidP="00200B76">
      <w:pPr>
        <w:widowControl/>
        <w:rPr>
          <w:rFonts w:eastAsia="Calibri"/>
          <w:lang w:val="en-GB" w:bidi="ar-SA"/>
        </w:rPr>
      </w:pPr>
      <w:r w:rsidRPr="00622335">
        <w:rPr>
          <w:rFonts w:eastAsia="Calibri"/>
          <w:lang w:val="en-GB" w:bidi="ar-SA"/>
        </w:rPr>
        <w:t>The separated algal oil then</w:t>
      </w:r>
      <w:r w:rsidRPr="00622335">
        <w:rPr>
          <w:rFonts w:eastAsia="Calibri"/>
          <w:b/>
          <w:bCs/>
          <w:lang w:val="en-GB" w:bidi="ar-SA"/>
        </w:rPr>
        <w:t xml:space="preserve"> </w:t>
      </w:r>
      <w:r w:rsidRPr="00622335">
        <w:rPr>
          <w:rFonts w:eastAsia="Calibri"/>
          <w:lang w:val="en-GB" w:bidi="ar-SA"/>
        </w:rPr>
        <w:t>undergoes the standard food oil industry downstream processing operations of filtration,</w:t>
      </w:r>
      <w:r w:rsidRPr="00622335">
        <w:rPr>
          <w:rFonts w:eastAsia="Calibri"/>
          <w:b/>
          <w:bCs/>
          <w:lang w:val="en-GB" w:bidi="ar-SA"/>
        </w:rPr>
        <w:t xml:space="preserve"> </w:t>
      </w:r>
      <w:r w:rsidRPr="00622335">
        <w:rPr>
          <w:rFonts w:eastAsia="Calibri"/>
          <w:lang w:val="en-GB" w:bidi="ar-SA"/>
        </w:rPr>
        <w:t>refining, physical bleaching and deodorization.</w:t>
      </w:r>
      <w:r w:rsidRPr="00622335">
        <w:rPr>
          <w:rFonts w:eastAsia="Calibri"/>
          <w:b/>
          <w:bCs/>
          <w:lang w:val="en-GB" w:bidi="ar-SA"/>
        </w:rPr>
        <w:t xml:space="preserve"> </w:t>
      </w:r>
      <w:r w:rsidRPr="00622335">
        <w:rPr>
          <w:rFonts w:eastAsia="Calibri"/>
          <w:lang w:val="en-GB" w:bidi="ar-SA"/>
        </w:rPr>
        <w:t>DHA-B is manufactured under appropriate good manufacturing practice (GMP). The resultant DHA-B is a free flowing, light yellow-orange oil.</w:t>
      </w:r>
    </w:p>
    <w:p w14:paraId="0A416055" w14:textId="77777777" w:rsidR="00F40EB1" w:rsidRDefault="00F40EB1" w:rsidP="00200B76">
      <w:pPr>
        <w:widowControl/>
        <w:rPr>
          <w:rFonts w:eastAsia="Calibri"/>
          <w:lang w:val="en-GB" w:bidi="ar-SA"/>
        </w:rPr>
      </w:pPr>
    </w:p>
    <w:p w14:paraId="13AAB7BB" w14:textId="04BAC119" w:rsidR="00A25545" w:rsidRPr="00622335" w:rsidRDefault="00A25545" w:rsidP="00200B76">
      <w:pPr>
        <w:widowControl/>
        <w:rPr>
          <w:lang w:val="en-GB"/>
        </w:rPr>
      </w:pPr>
      <w:r w:rsidRPr="00622335">
        <w:rPr>
          <w:rFonts w:eastAsia="Calibri"/>
          <w:lang w:val="en-GB" w:bidi="ar-SA"/>
        </w:rPr>
        <w:t xml:space="preserve">The </w:t>
      </w:r>
      <w:r w:rsidR="00200B76">
        <w:rPr>
          <w:rFonts w:eastAsia="Calibri"/>
          <w:lang w:val="en-GB" w:bidi="ar-SA"/>
        </w:rPr>
        <w:t>Applicant</w:t>
      </w:r>
      <w:r w:rsidRPr="00622335">
        <w:rPr>
          <w:rFonts w:eastAsia="Calibri"/>
          <w:lang w:val="en-GB" w:bidi="ar-SA"/>
        </w:rPr>
        <w:t xml:space="preserve"> also maintains material control specifications for all raw materials used in the manufacture of</w:t>
      </w:r>
      <w:r w:rsidRPr="00622335">
        <w:rPr>
          <w:rFonts w:eastAsia="Calibri"/>
          <w:b/>
          <w:bCs/>
          <w:lang w:val="en-GB" w:bidi="ar-SA"/>
        </w:rPr>
        <w:t xml:space="preserve"> </w:t>
      </w:r>
      <w:r w:rsidRPr="00622335">
        <w:rPr>
          <w:rFonts w:eastAsia="Calibri"/>
          <w:lang w:val="en-GB" w:bidi="ar-SA"/>
        </w:rPr>
        <w:t>DHA-B. The quality of all raw materials used is verified from the manufacturers’</w:t>
      </w:r>
      <w:r w:rsidRPr="00622335">
        <w:rPr>
          <w:rFonts w:eastAsia="Calibri"/>
          <w:b/>
          <w:bCs/>
          <w:lang w:val="en-GB" w:bidi="ar-SA"/>
        </w:rPr>
        <w:t xml:space="preserve"> </w:t>
      </w:r>
      <w:r w:rsidRPr="00622335">
        <w:rPr>
          <w:rFonts w:eastAsia="Calibri"/>
          <w:lang w:val="en-GB" w:bidi="ar-SA"/>
        </w:rPr>
        <w:t xml:space="preserve">Certificates of Analysis. The </w:t>
      </w:r>
      <w:r w:rsidR="00200B76">
        <w:rPr>
          <w:rFonts w:eastAsia="Calibri"/>
          <w:lang w:val="en-GB" w:bidi="ar-SA"/>
        </w:rPr>
        <w:t>Applicant</w:t>
      </w:r>
      <w:r w:rsidRPr="00622335">
        <w:rPr>
          <w:rFonts w:eastAsia="Calibri"/>
          <w:lang w:val="en-GB" w:bidi="ar-SA"/>
        </w:rPr>
        <w:t xml:space="preserve"> has provided details on all raw materials used in the manufacturing process along with confirmation that they are food grade</w:t>
      </w:r>
      <w:r w:rsidRPr="00622335">
        <w:rPr>
          <w:rFonts w:eastAsia="Calibri"/>
          <w:b/>
          <w:bCs/>
          <w:lang w:val="en-GB" w:bidi="ar-SA"/>
        </w:rPr>
        <w:t xml:space="preserve"> </w:t>
      </w:r>
      <w:r w:rsidRPr="00622335">
        <w:rPr>
          <w:rFonts w:eastAsia="Calibri"/>
          <w:lang w:val="en-GB" w:bidi="ar-SA"/>
        </w:rPr>
        <w:t>and are either food additives or processing aids permitted in the Code.</w:t>
      </w:r>
    </w:p>
    <w:p w14:paraId="4FED1570" w14:textId="77777777" w:rsidR="00A25545" w:rsidRPr="00FE490D" w:rsidRDefault="00A25545" w:rsidP="00A25545">
      <w:pPr>
        <w:pStyle w:val="Heading2"/>
      </w:pPr>
      <w:bookmarkStart w:id="26" w:name="_Toc464129770"/>
      <w:r w:rsidRPr="00FE490D">
        <w:t>2.6</w:t>
      </w:r>
      <w:r w:rsidRPr="00FE490D">
        <w:tab/>
        <w:t>Product stability</w:t>
      </w:r>
      <w:bookmarkEnd w:id="26"/>
    </w:p>
    <w:p w14:paraId="555C5881" w14:textId="77777777" w:rsidR="00A25545" w:rsidRPr="00622335" w:rsidRDefault="00A25545" w:rsidP="00A25545">
      <w:pPr>
        <w:rPr>
          <w:rFonts w:eastAsia="Calibri"/>
          <w:lang w:val="en-GB" w:bidi="ar-SA"/>
        </w:rPr>
      </w:pPr>
      <w:r w:rsidRPr="00622335">
        <w:rPr>
          <w:rFonts w:eastAsia="Calibri"/>
          <w:lang w:val="en-GB" w:bidi="ar-SA"/>
        </w:rPr>
        <w:t>DHA oil typically contains conjugated double bonds which can make it susceptible to decomposition. Therefore its stability must be considered to avoid affecting the final product quality by means of reduced efficacy. Oxidative stability is illustrated by the inclusion of free fatty acid value and peroxide values in Table 2.2, which are well within specification for the analysed samples.</w:t>
      </w:r>
    </w:p>
    <w:p w14:paraId="52BC3F81" w14:textId="77777777" w:rsidR="00A25545" w:rsidRPr="00622335" w:rsidRDefault="00A25545" w:rsidP="00A25545">
      <w:pPr>
        <w:rPr>
          <w:rFonts w:eastAsia="Calibri"/>
          <w:lang w:val="en-GB" w:bidi="ar-SA"/>
        </w:rPr>
      </w:pPr>
    </w:p>
    <w:p w14:paraId="1ADD0E42" w14:textId="74E74C7C" w:rsidR="00A25545" w:rsidRPr="00622335" w:rsidRDefault="00A25545" w:rsidP="00A25545">
      <w:pPr>
        <w:rPr>
          <w:rFonts w:eastAsia="Calibri"/>
          <w:lang w:val="en-GB" w:bidi="ar-SA"/>
        </w:rPr>
      </w:pPr>
      <w:r w:rsidRPr="00622335">
        <w:rPr>
          <w:rFonts w:eastAsia="Calibri"/>
          <w:lang w:val="en-GB" w:bidi="ar-SA"/>
        </w:rPr>
        <w:t xml:space="preserve">The </w:t>
      </w:r>
      <w:r w:rsidR="00200B76">
        <w:rPr>
          <w:rFonts w:eastAsia="Calibri"/>
          <w:lang w:val="en-GB" w:bidi="ar-SA"/>
        </w:rPr>
        <w:t>Applicant</w:t>
      </w:r>
      <w:r w:rsidRPr="00622335">
        <w:rPr>
          <w:rFonts w:eastAsia="Calibri"/>
          <w:lang w:val="en-GB" w:bidi="ar-SA"/>
        </w:rPr>
        <w:t xml:space="preserve"> has also provided information on the stability of DHA-B, when added to liquid ready-to-feed infant formula, stored for 12 months at ambient temperature. This showed that stability was maintained through a consistently high result for DHA content versus the label claim (Table 2.3).</w:t>
      </w:r>
    </w:p>
    <w:p w14:paraId="2885BA1E" w14:textId="77777777" w:rsidR="00A25545" w:rsidRDefault="00A25545" w:rsidP="00F40EB1">
      <w:pPr>
        <w:rPr>
          <w:rFonts w:eastAsia="Calibri"/>
          <w:lang w:val="en-GB" w:bidi="ar-SA"/>
        </w:rPr>
      </w:pPr>
    </w:p>
    <w:p w14:paraId="720FAE8C" w14:textId="036C2815" w:rsidR="00A25545" w:rsidRDefault="00A25545" w:rsidP="00A25545">
      <w:pPr>
        <w:rPr>
          <w:rFonts w:eastAsia="Calibri"/>
          <w:lang w:val="en-GB" w:bidi="ar-SA"/>
        </w:rPr>
      </w:pPr>
      <w:r w:rsidRPr="00622335">
        <w:rPr>
          <w:rFonts w:eastAsia="Calibri"/>
          <w:lang w:val="en-GB" w:bidi="ar-SA"/>
        </w:rPr>
        <w:t xml:space="preserve">Furthermore, the </w:t>
      </w:r>
      <w:r w:rsidR="00200B76">
        <w:rPr>
          <w:rFonts w:eastAsia="Calibri"/>
          <w:lang w:val="en-GB" w:bidi="ar-SA"/>
        </w:rPr>
        <w:t>Applicant</w:t>
      </w:r>
      <w:r w:rsidRPr="00622335">
        <w:rPr>
          <w:rFonts w:ascii="Trebuchet MS" w:hAnsi="Trebuchet MS" w:cs="Trebuchet MS"/>
          <w:lang w:val="en-GB" w:eastAsia="en-GB" w:bidi="ar-SA"/>
        </w:rPr>
        <w:t xml:space="preserve"> </w:t>
      </w:r>
      <w:r w:rsidRPr="00622335">
        <w:rPr>
          <w:rFonts w:eastAsia="Calibri"/>
          <w:lang w:val="en-GB" w:bidi="ar-SA"/>
        </w:rPr>
        <w:t xml:space="preserve">stated that the infant formula company is responsible for assuring that when the oil is combined with approved ingredients that the finished </w:t>
      </w:r>
      <w:r w:rsidR="00FA31C9">
        <w:rPr>
          <w:rFonts w:eastAsia="Calibri"/>
          <w:lang w:val="en-GB" w:bidi="ar-SA"/>
        </w:rPr>
        <w:t>infant formula products</w:t>
      </w:r>
      <w:r w:rsidRPr="00622335">
        <w:rPr>
          <w:rFonts w:eastAsia="Calibri"/>
          <w:lang w:val="en-GB" w:bidi="ar-SA"/>
        </w:rPr>
        <w:t xml:space="preserve"> is stable throughout its shelf life. Most </w:t>
      </w:r>
      <w:r w:rsidR="00200B76" w:rsidRPr="00622335">
        <w:rPr>
          <w:rFonts w:eastAsia="Calibri"/>
          <w:lang w:val="en-GB" w:bidi="ar-SA"/>
        </w:rPr>
        <w:t xml:space="preserve">infant formula </w:t>
      </w:r>
      <w:r w:rsidR="00200B76">
        <w:rPr>
          <w:rFonts w:eastAsia="Calibri"/>
          <w:lang w:val="en-GB" w:bidi="ar-SA"/>
        </w:rPr>
        <w:t>product</w:t>
      </w:r>
      <w:r w:rsidRPr="00622335">
        <w:rPr>
          <w:rFonts w:eastAsia="Calibri"/>
          <w:lang w:val="en-GB" w:bidi="ar-SA"/>
        </w:rPr>
        <w:t xml:space="preserve">s have a shelf life of 12 months and state on the label that the product should be stored in a cool dry place and consumed within four weeks once opened. By following these instructions, the level of the DHA component of </w:t>
      </w:r>
      <w:r w:rsidR="00FA31C9">
        <w:rPr>
          <w:rFonts w:eastAsia="Calibri"/>
          <w:lang w:val="en-GB" w:bidi="ar-SA"/>
        </w:rPr>
        <w:t>infant formula products</w:t>
      </w:r>
      <w:r w:rsidR="00FA31C9" w:rsidRPr="00622335">
        <w:rPr>
          <w:rFonts w:eastAsia="Calibri"/>
          <w:lang w:val="en-GB" w:bidi="ar-SA"/>
        </w:rPr>
        <w:t xml:space="preserve"> </w:t>
      </w:r>
      <w:r w:rsidRPr="00622335">
        <w:rPr>
          <w:rFonts w:eastAsia="Calibri"/>
          <w:lang w:val="en-GB" w:bidi="ar-SA"/>
        </w:rPr>
        <w:t>should be maintained.</w:t>
      </w:r>
    </w:p>
    <w:p w14:paraId="1EB7E964" w14:textId="77777777" w:rsidR="00A25545" w:rsidRPr="00622335" w:rsidRDefault="00A25545" w:rsidP="00A25545">
      <w:pPr>
        <w:rPr>
          <w:rFonts w:eastAsia="Calibri"/>
          <w:lang w:val="en-GB" w:bidi="ar-SA"/>
        </w:rPr>
      </w:pPr>
    </w:p>
    <w:p w14:paraId="6BF90368" w14:textId="77777777" w:rsidR="00A25545" w:rsidRPr="00622335" w:rsidDel="000B36F6" w:rsidRDefault="00A25545" w:rsidP="00A25545">
      <w:pPr>
        <w:pStyle w:val="FSTableTitle"/>
        <w:keepNext/>
        <w:keepLines/>
        <w:rPr>
          <w:rFonts w:eastAsia="Calibri"/>
          <w:lang w:val="en-GB"/>
        </w:rPr>
      </w:pPr>
      <w:r w:rsidRPr="00622335" w:rsidDel="000B36F6">
        <w:rPr>
          <w:rFonts w:eastAsia="Calibri"/>
          <w:lang w:val="en-GB"/>
        </w:rPr>
        <w:t>Table 2.</w:t>
      </w:r>
      <w:r w:rsidRPr="00622335">
        <w:rPr>
          <w:rFonts w:eastAsia="Calibri"/>
          <w:lang w:val="en-GB"/>
        </w:rPr>
        <w:t>3:</w:t>
      </w:r>
      <w:r w:rsidRPr="00622335" w:rsidDel="000B36F6">
        <w:rPr>
          <w:rFonts w:eastAsia="Calibri"/>
          <w:lang w:val="en-GB"/>
        </w:rPr>
        <w:t xml:space="preserve"> Stability of </w:t>
      </w:r>
      <w:r w:rsidRPr="00622335">
        <w:rPr>
          <w:rFonts w:eastAsia="Calibri"/>
          <w:lang w:val="en-GB"/>
        </w:rPr>
        <w:t>DHA-B</w:t>
      </w:r>
      <w:r w:rsidRPr="00622335" w:rsidDel="000B36F6">
        <w:rPr>
          <w:rFonts w:eastAsia="Calibri"/>
          <w:lang w:val="en-GB"/>
        </w:rPr>
        <w:t xml:space="preserve"> in liquid ready</w:t>
      </w:r>
      <w:r w:rsidRPr="00622335">
        <w:rPr>
          <w:rFonts w:eastAsia="Calibri"/>
          <w:lang w:val="en-GB"/>
        </w:rPr>
        <w:t>-</w:t>
      </w:r>
      <w:r w:rsidRPr="00622335" w:rsidDel="000B36F6">
        <w:rPr>
          <w:rFonts w:eastAsia="Calibri"/>
          <w:lang w:val="en-GB"/>
        </w:rPr>
        <w:t>to</w:t>
      </w:r>
      <w:r w:rsidRPr="00622335">
        <w:rPr>
          <w:rFonts w:eastAsia="Calibri"/>
          <w:lang w:val="en-GB"/>
        </w:rPr>
        <w:t>-</w:t>
      </w:r>
      <w:r w:rsidRPr="00622335" w:rsidDel="000B36F6">
        <w:rPr>
          <w:rFonts w:eastAsia="Calibri"/>
          <w:lang w:val="en-GB"/>
        </w:rPr>
        <w:t>feed infant formula (12 months ambient storage).</w:t>
      </w:r>
    </w:p>
    <w:p w14:paraId="4B048ABE" w14:textId="77777777" w:rsidR="00A25545" w:rsidRPr="00622335" w:rsidRDefault="00A25545" w:rsidP="00A25545">
      <w:pPr>
        <w:keepNext/>
        <w:keepLines/>
        <w:widowControl/>
        <w:ind w:left="284"/>
        <w:rPr>
          <w:rFonts w:eastAsia="Calibri"/>
          <w:sz w:val="16"/>
          <w:szCs w:val="16"/>
          <w:lang w:val="en-GB" w:bidi="ar-S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bility of DHA-B in liquid RTD infant formula "/>
        <w:tblDescription w:val="This table shows stability data on DHA-B when added to liquid ready-to-drink  infant formula, stored for 12 months"/>
      </w:tblPr>
      <w:tblGrid>
        <w:gridCol w:w="1046"/>
        <w:gridCol w:w="993"/>
        <w:gridCol w:w="708"/>
        <w:gridCol w:w="851"/>
        <w:gridCol w:w="709"/>
        <w:gridCol w:w="850"/>
        <w:gridCol w:w="709"/>
        <w:gridCol w:w="850"/>
        <w:gridCol w:w="709"/>
        <w:gridCol w:w="851"/>
        <w:gridCol w:w="708"/>
      </w:tblGrid>
      <w:tr w:rsidR="00A25545" w:rsidRPr="00DE5269" w14:paraId="386F2757" w14:textId="77777777" w:rsidTr="00A92233">
        <w:trPr>
          <w:cantSplit/>
          <w:tblHeader/>
          <w:jc w:val="center"/>
        </w:trPr>
        <w:tc>
          <w:tcPr>
            <w:tcW w:w="1046" w:type="dxa"/>
            <w:shd w:val="clear" w:color="auto" w:fill="C6D9F1" w:themeFill="text2" w:themeFillTint="33"/>
            <w:vAlign w:val="center"/>
          </w:tcPr>
          <w:p w14:paraId="084B6C79"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Nutrient</w:t>
            </w:r>
          </w:p>
        </w:tc>
        <w:tc>
          <w:tcPr>
            <w:tcW w:w="993" w:type="dxa"/>
            <w:shd w:val="clear" w:color="auto" w:fill="C6D9F1" w:themeFill="text2" w:themeFillTint="33"/>
            <w:vAlign w:val="center"/>
          </w:tcPr>
          <w:p w14:paraId="508D2271"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Unit</w:t>
            </w:r>
          </w:p>
        </w:tc>
        <w:tc>
          <w:tcPr>
            <w:tcW w:w="708" w:type="dxa"/>
            <w:shd w:val="clear" w:color="auto" w:fill="C6D9F1" w:themeFill="text2" w:themeFillTint="33"/>
            <w:vAlign w:val="center"/>
          </w:tcPr>
          <w:p w14:paraId="516F23A3"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Label</w:t>
            </w:r>
          </w:p>
          <w:p w14:paraId="2FB71535"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Claim</w:t>
            </w:r>
          </w:p>
          <w:p w14:paraId="1DB568CC"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(LC)</w:t>
            </w:r>
          </w:p>
        </w:tc>
        <w:tc>
          <w:tcPr>
            <w:tcW w:w="1560" w:type="dxa"/>
            <w:gridSpan w:val="2"/>
            <w:shd w:val="clear" w:color="auto" w:fill="C6D9F1" w:themeFill="text2" w:themeFillTint="33"/>
            <w:vAlign w:val="center"/>
          </w:tcPr>
          <w:p w14:paraId="53822C14"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0 Month</w:t>
            </w:r>
          </w:p>
        </w:tc>
        <w:tc>
          <w:tcPr>
            <w:tcW w:w="1559" w:type="dxa"/>
            <w:gridSpan w:val="2"/>
            <w:shd w:val="clear" w:color="auto" w:fill="C6D9F1" w:themeFill="text2" w:themeFillTint="33"/>
            <w:vAlign w:val="center"/>
          </w:tcPr>
          <w:p w14:paraId="43E1F087"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3 Month</w:t>
            </w:r>
          </w:p>
        </w:tc>
        <w:tc>
          <w:tcPr>
            <w:tcW w:w="1559" w:type="dxa"/>
            <w:gridSpan w:val="2"/>
            <w:shd w:val="clear" w:color="auto" w:fill="C6D9F1" w:themeFill="text2" w:themeFillTint="33"/>
            <w:vAlign w:val="center"/>
          </w:tcPr>
          <w:p w14:paraId="4DD54F26"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6 Month</w:t>
            </w:r>
          </w:p>
        </w:tc>
        <w:tc>
          <w:tcPr>
            <w:tcW w:w="1559" w:type="dxa"/>
            <w:gridSpan w:val="2"/>
            <w:shd w:val="clear" w:color="auto" w:fill="C6D9F1" w:themeFill="text2" w:themeFillTint="33"/>
            <w:vAlign w:val="center"/>
          </w:tcPr>
          <w:p w14:paraId="0B4A320F" w14:textId="77777777" w:rsidR="00A25545" w:rsidRPr="00622335" w:rsidRDefault="00A25545" w:rsidP="00A92233">
            <w:pPr>
              <w:keepNext/>
              <w:keepLines/>
              <w:widowControl/>
              <w:jc w:val="center"/>
              <w:rPr>
                <w:rFonts w:eastAsia="Calibri"/>
                <w:b/>
                <w:sz w:val="18"/>
                <w:szCs w:val="18"/>
                <w:lang w:val="en-GB" w:bidi="ar-SA"/>
              </w:rPr>
            </w:pPr>
            <w:r w:rsidRPr="00622335">
              <w:rPr>
                <w:rFonts w:eastAsia="Calibri"/>
                <w:b/>
                <w:sz w:val="18"/>
                <w:szCs w:val="18"/>
                <w:lang w:val="en-GB" w:bidi="ar-SA"/>
              </w:rPr>
              <w:t>12 Month</w:t>
            </w:r>
          </w:p>
        </w:tc>
      </w:tr>
      <w:tr w:rsidR="00A25545" w:rsidRPr="00DE5269" w14:paraId="6235387A" w14:textId="77777777" w:rsidTr="00A92233">
        <w:trPr>
          <w:trHeight w:val="409"/>
          <w:jc w:val="center"/>
        </w:trPr>
        <w:tc>
          <w:tcPr>
            <w:tcW w:w="1046" w:type="dxa"/>
            <w:vMerge w:val="restart"/>
            <w:vAlign w:val="center"/>
          </w:tcPr>
          <w:p w14:paraId="1B450FCC"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DHA</w:t>
            </w:r>
          </w:p>
        </w:tc>
        <w:tc>
          <w:tcPr>
            <w:tcW w:w="993" w:type="dxa"/>
            <w:vMerge w:val="restart"/>
            <w:vAlign w:val="center"/>
          </w:tcPr>
          <w:p w14:paraId="437BBAC2"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mg/100</w:t>
            </w:r>
          </w:p>
          <w:p w14:paraId="7CB88069"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kcal</w:t>
            </w:r>
          </w:p>
        </w:tc>
        <w:tc>
          <w:tcPr>
            <w:tcW w:w="708" w:type="dxa"/>
            <w:vMerge w:val="restart"/>
            <w:vAlign w:val="center"/>
          </w:tcPr>
          <w:p w14:paraId="4D23377A"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19</w:t>
            </w:r>
          </w:p>
        </w:tc>
        <w:tc>
          <w:tcPr>
            <w:tcW w:w="851" w:type="dxa"/>
            <w:vAlign w:val="center"/>
          </w:tcPr>
          <w:p w14:paraId="5B141C8F"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Result</w:t>
            </w:r>
          </w:p>
        </w:tc>
        <w:tc>
          <w:tcPr>
            <w:tcW w:w="709" w:type="dxa"/>
            <w:vAlign w:val="center"/>
          </w:tcPr>
          <w:p w14:paraId="2D98809A"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%LC</w:t>
            </w:r>
          </w:p>
        </w:tc>
        <w:tc>
          <w:tcPr>
            <w:tcW w:w="850" w:type="dxa"/>
            <w:vAlign w:val="center"/>
          </w:tcPr>
          <w:p w14:paraId="4E8A67F0"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Result</w:t>
            </w:r>
          </w:p>
        </w:tc>
        <w:tc>
          <w:tcPr>
            <w:tcW w:w="709" w:type="dxa"/>
            <w:vAlign w:val="center"/>
          </w:tcPr>
          <w:p w14:paraId="2EC253C8"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%LC</w:t>
            </w:r>
          </w:p>
        </w:tc>
        <w:tc>
          <w:tcPr>
            <w:tcW w:w="850" w:type="dxa"/>
            <w:vAlign w:val="center"/>
          </w:tcPr>
          <w:p w14:paraId="7014E137"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Result</w:t>
            </w:r>
          </w:p>
        </w:tc>
        <w:tc>
          <w:tcPr>
            <w:tcW w:w="709" w:type="dxa"/>
            <w:vAlign w:val="center"/>
          </w:tcPr>
          <w:p w14:paraId="6C10F8B5"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%LC</w:t>
            </w:r>
          </w:p>
        </w:tc>
        <w:tc>
          <w:tcPr>
            <w:tcW w:w="851" w:type="dxa"/>
            <w:vAlign w:val="center"/>
          </w:tcPr>
          <w:p w14:paraId="62223029"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Result</w:t>
            </w:r>
          </w:p>
        </w:tc>
        <w:tc>
          <w:tcPr>
            <w:tcW w:w="708" w:type="dxa"/>
            <w:vAlign w:val="center"/>
          </w:tcPr>
          <w:p w14:paraId="549E9133"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%LC</w:t>
            </w:r>
          </w:p>
        </w:tc>
      </w:tr>
      <w:tr w:rsidR="00A25545" w:rsidRPr="00DE5269" w14:paraId="7C45D98D" w14:textId="77777777" w:rsidTr="00A92233">
        <w:trPr>
          <w:trHeight w:val="355"/>
          <w:jc w:val="center"/>
        </w:trPr>
        <w:tc>
          <w:tcPr>
            <w:tcW w:w="1046" w:type="dxa"/>
            <w:vMerge/>
            <w:vAlign w:val="center"/>
          </w:tcPr>
          <w:p w14:paraId="2EC49031" w14:textId="77777777" w:rsidR="00A25545" w:rsidRPr="00622335" w:rsidRDefault="00A25545" w:rsidP="00A92233">
            <w:pPr>
              <w:widowControl/>
              <w:jc w:val="center"/>
              <w:rPr>
                <w:rFonts w:eastAsia="Calibri"/>
                <w:sz w:val="18"/>
                <w:szCs w:val="18"/>
                <w:lang w:val="en-GB" w:bidi="ar-SA"/>
              </w:rPr>
            </w:pPr>
          </w:p>
        </w:tc>
        <w:tc>
          <w:tcPr>
            <w:tcW w:w="993" w:type="dxa"/>
            <w:vMerge/>
            <w:vAlign w:val="center"/>
          </w:tcPr>
          <w:p w14:paraId="45DC628B" w14:textId="77777777" w:rsidR="00A25545" w:rsidRPr="00622335" w:rsidRDefault="00A25545" w:rsidP="00A92233">
            <w:pPr>
              <w:widowControl/>
              <w:jc w:val="center"/>
              <w:rPr>
                <w:rFonts w:eastAsia="Calibri"/>
                <w:sz w:val="18"/>
                <w:szCs w:val="18"/>
                <w:lang w:val="en-GB" w:bidi="ar-SA"/>
              </w:rPr>
            </w:pPr>
          </w:p>
        </w:tc>
        <w:tc>
          <w:tcPr>
            <w:tcW w:w="708" w:type="dxa"/>
            <w:vMerge/>
            <w:vAlign w:val="center"/>
          </w:tcPr>
          <w:p w14:paraId="32BD57EC" w14:textId="77777777" w:rsidR="00A25545" w:rsidRPr="00622335" w:rsidRDefault="00A25545" w:rsidP="00A92233">
            <w:pPr>
              <w:widowControl/>
              <w:jc w:val="center"/>
              <w:rPr>
                <w:rFonts w:eastAsia="Calibri"/>
                <w:sz w:val="18"/>
                <w:szCs w:val="18"/>
                <w:lang w:val="en-GB" w:bidi="ar-SA"/>
              </w:rPr>
            </w:pPr>
          </w:p>
        </w:tc>
        <w:tc>
          <w:tcPr>
            <w:tcW w:w="851" w:type="dxa"/>
            <w:vAlign w:val="center"/>
          </w:tcPr>
          <w:p w14:paraId="24E2C204"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21.6</w:t>
            </w:r>
          </w:p>
        </w:tc>
        <w:tc>
          <w:tcPr>
            <w:tcW w:w="709" w:type="dxa"/>
            <w:vAlign w:val="center"/>
          </w:tcPr>
          <w:p w14:paraId="2A39DFA8"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113</w:t>
            </w:r>
          </w:p>
        </w:tc>
        <w:tc>
          <w:tcPr>
            <w:tcW w:w="850" w:type="dxa"/>
            <w:vAlign w:val="center"/>
          </w:tcPr>
          <w:p w14:paraId="0945FF75"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20.4</w:t>
            </w:r>
          </w:p>
        </w:tc>
        <w:tc>
          <w:tcPr>
            <w:tcW w:w="709" w:type="dxa"/>
            <w:vAlign w:val="center"/>
          </w:tcPr>
          <w:p w14:paraId="5D65F3A9"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107</w:t>
            </w:r>
          </w:p>
        </w:tc>
        <w:tc>
          <w:tcPr>
            <w:tcW w:w="850" w:type="dxa"/>
            <w:vAlign w:val="center"/>
          </w:tcPr>
          <w:p w14:paraId="2B41712A"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21.8</w:t>
            </w:r>
          </w:p>
        </w:tc>
        <w:tc>
          <w:tcPr>
            <w:tcW w:w="709" w:type="dxa"/>
            <w:vAlign w:val="center"/>
          </w:tcPr>
          <w:p w14:paraId="089F18C6"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114</w:t>
            </w:r>
          </w:p>
        </w:tc>
        <w:tc>
          <w:tcPr>
            <w:tcW w:w="851" w:type="dxa"/>
            <w:vAlign w:val="center"/>
          </w:tcPr>
          <w:p w14:paraId="5A862677"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19.5</w:t>
            </w:r>
          </w:p>
        </w:tc>
        <w:tc>
          <w:tcPr>
            <w:tcW w:w="708" w:type="dxa"/>
            <w:vAlign w:val="center"/>
          </w:tcPr>
          <w:p w14:paraId="677E8875" w14:textId="77777777" w:rsidR="00A25545" w:rsidRPr="00622335" w:rsidRDefault="00A25545" w:rsidP="00A92233">
            <w:pPr>
              <w:widowControl/>
              <w:jc w:val="center"/>
              <w:rPr>
                <w:rFonts w:eastAsia="Calibri"/>
                <w:sz w:val="18"/>
                <w:szCs w:val="18"/>
                <w:lang w:val="en-GB" w:bidi="ar-SA"/>
              </w:rPr>
            </w:pPr>
            <w:r w:rsidRPr="00622335">
              <w:rPr>
                <w:rFonts w:eastAsia="Calibri"/>
                <w:sz w:val="18"/>
                <w:szCs w:val="18"/>
                <w:lang w:val="en-GB" w:bidi="ar-SA"/>
              </w:rPr>
              <w:t>102</w:t>
            </w:r>
          </w:p>
        </w:tc>
      </w:tr>
    </w:tbl>
    <w:p w14:paraId="14305825" w14:textId="68A3453D" w:rsidR="00BE3399" w:rsidRDefault="00BE3399" w:rsidP="00F40EB1">
      <w:pPr>
        <w:rPr>
          <w:rFonts w:eastAsia="Calibri"/>
          <w:lang w:val="en-GB" w:bidi="ar-SA"/>
        </w:rPr>
      </w:pPr>
      <w:r>
        <w:rPr>
          <w:rFonts w:eastAsia="Calibri"/>
          <w:lang w:val="en-GB" w:bidi="ar-SA"/>
        </w:rPr>
        <w:br w:type="page"/>
      </w:r>
    </w:p>
    <w:p w14:paraId="091942F2" w14:textId="77777777" w:rsidR="00F40EB1" w:rsidRPr="00622335" w:rsidRDefault="00C20055" w:rsidP="00F40EB1">
      <w:pPr>
        <w:rPr>
          <w:rFonts w:eastAsia="Calibri"/>
          <w:lang w:val="en-GB" w:bidi="ar-SA"/>
        </w:rPr>
      </w:pPr>
      <w:r w:rsidRPr="00DE5269">
        <w:rPr>
          <w:noProof/>
          <w:lang w:val="en-GB" w:eastAsia="en-GB" w:bidi="ar-SA"/>
        </w:rPr>
        <w:lastRenderedPageBreak/>
        <w:drawing>
          <wp:inline distT="0" distB="0" distL="0" distR="0" wp14:anchorId="6BBE708F" wp14:editId="0E9CE533">
            <wp:extent cx="5684808" cy="8384876"/>
            <wp:effectExtent l="0" t="0" r="0" b="0"/>
            <wp:docPr id="2" name="Picture 2" descr="This picture shows a flow chart of the manufacturing process for the oil " title="Manufacturing flow chart of the 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95651" cy="8400869"/>
                    </a:xfrm>
                    <a:prstGeom prst="rect">
                      <a:avLst/>
                    </a:prstGeom>
                  </pic:spPr>
                </pic:pic>
              </a:graphicData>
            </a:graphic>
          </wp:inline>
        </w:drawing>
      </w:r>
    </w:p>
    <w:p w14:paraId="0C5E5F02" w14:textId="0E784939" w:rsidR="00C20055" w:rsidRPr="00622335" w:rsidRDefault="00C20055" w:rsidP="00622335">
      <w:pPr>
        <w:pStyle w:val="FSFigureTitle"/>
        <w:keepNext/>
        <w:keepLines/>
        <w:jc w:val="center"/>
        <w:rPr>
          <w:rFonts w:eastAsia="Calibri"/>
          <w:lang w:val="en-GB"/>
        </w:rPr>
      </w:pPr>
      <w:r w:rsidRPr="00622335">
        <w:rPr>
          <w:rFonts w:eastAsia="Calibri"/>
          <w:lang w:val="en-GB"/>
        </w:rPr>
        <w:t xml:space="preserve">Figure </w:t>
      </w:r>
      <w:r w:rsidR="00FA31C9">
        <w:rPr>
          <w:rFonts w:eastAsia="Calibri"/>
          <w:lang w:val="en-GB"/>
        </w:rPr>
        <w:t>2</w:t>
      </w:r>
      <w:r w:rsidRPr="00622335">
        <w:rPr>
          <w:rFonts w:eastAsia="Calibri"/>
          <w:lang w:val="en-GB"/>
        </w:rPr>
        <w:t>.1</w:t>
      </w:r>
      <w:r w:rsidR="00FE490D">
        <w:rPr>
          <w:rFonts w:eastAsia="Calibri"/>
          <w:lang w:val="en-GB"/>
        </w:rPr>
        <w:t xml:space="preserve">: </w:t>
      </w:r>
      <w:r w:rsidRPr="00622335">
        <w:rPr>
          <w:rFonts w:eastAsia="Calibri"/>
          <w:lang w:val="en-GB"/>
        </w:rPr>
        <w:t>DHA-B manufacturing process flow chart</w:t>
      </w:r>
    </w:p>
    <w:p w14:paraId="1EEA8993" w14:textId="296A006E" w:rsidR="00BE3399" w:rsidRDefault="00BE3399" w:rsidP="00A25545">
      <w:pPr>
        <w:rPr>
          <w:rFonts w:eastAsia="Calibri"/>
          <w:lang w:val="en-GB" w:bidi="ar-SA"/>
        </w:rPr>
      </w:pPr>
      <w:r>
        <w:rPr>
          <w:rFonts w:eastAsia="Calibri"/>
          <w:lang w:val="en-GB" w:bidi="ar-SA"/>
        </w:rPr>
        <w:br w:type="page"/>
      </w:r>
    </w:p>
    <w:p w14:paraId="528ECA17" w14:textId="19CF8B46" w:rsidR="00E452E9" w:rsidRPr="00FE490D" w:rsidRDefault="00E452E9" w:rsidP="00E452E9">
      <w:pPr>
        <w:pStyle w:val="Heading2"/>
      </w:pPr>
      <w:bookmarkStart w:id="27" w:name="_Toc464129771"/>
      <w:r w:rsidRPr="00FE490D">
        <w:lastRenderedPageBreak/>
        <w:t>2.7</w:t>
      </w:r>
      <w:r w:rsidRPr="00FE490D">
        <w:tab/>
        <w:t>Food technology conclusion</w:t>
      </w:r>
      <w:bookmarkEnd w:id="27"/>
    </w:p>
    <w:p w14:paraId="5F0285CB" w14:textId="44527CAB" w:rsidR="00825642" w:rsidRPr="00622335" w:rsidRDefault="00825642" w:rsidP="00825642">
      <w:pPr>
        <w:rPr>
          <w:rFonts w:eastAsia="Calibri"/>
          <w:lang w:val="en-GB" w:bidi="ar-SA"/>
        </w:rPr>
      </w:pPr>
      <w:r w:rsidRPr="00622335">
        <w:rPr>
          <w:rFonts w:eastAsia="Calibri"/>
          <w:lang w:val="en-GB" w:bidi="ar-SA"/>
        </w:rPr>
        <w:t>T</w:t>
      </w:r>
      <w:r w:rsidR="00E452E9" w:rsidRPr="00622335">
        <w:rPr>
          <w:rFonts w:eastAsia="Calibri"/>
          <w:lang w:val="en-GB" w:bidi="ar-SA"/>
        </w:rPr>
        <w:t xml:space="preserve">he </w:t>
      </w:r>
      <w:r w:rsidR="00200B76">
        <w:rPr>
          <w:rFonts w:eastAsia="Calibri"/>
          <w:lang w:val="en-GB" w:bidi="ar-SA"/>
        </w:rPr>
        <w:t>Applicant</w:t>
      </w:r>
      <w:r w:rsidR="00E452E9" w:rsidRPr="00622335">
        <w:rPr>
          <w:rFonts w:eastAsia="Calibri"/>
          <w:lang w:val="en-GB" w:bidi="ar-SA"/>
        </w:rPr>
        <w:t xml:space="preserve"> has provided sufficient technical data to ensure that </w:t>
      </w:r>
      <w:r w:rsidR="00FD7080" w:rsidRPr="00622335">
        <w:rPr>
          <w:rFonts w:eastAsia="Calibri"/>
          <w:lang w:val="en-GB" w:bidi="ar-SA"/>
        </w:rPr>
        <w:t>DHA-B</w:t>
      </w:r>
      <w:r w:rsidR="00E452E9" w:rsidRPr="00622335">
        <w:rPr>
          <w:rFonts w:eastAsia="Calibri"/>
          <w:lang w:val="en-GB" w:bidi="ar-SA"/>
        </w:rPr>
        <w:t xml:space="preserve"> is suitable as an additional, alternative or replacement DHA oil source in </w:t>
      </w:r>
      <w:r w:rsidR="00FA31C9">
        <w:rPr>
          <w:rFonts w:eastAsia="Calibri"/>
          <w:lang w:val="en-GB" w:bidi="ar-SA"/>
        </w:rPr>
        <w:t>infant formula products</w:t>
      </w:r>
      <w:r w:rsidR="00FA31C9" w:rsidRPr="00622335">
        <w:rPr>
          <w:rFonts w:eastAsia="Calibri"/>
          <w:lang w:val="en-GB" w:bidi="ar-SA"/>
        </w:rPr>
        <w:t xml:space="preserve">. </w:t>
      </w:r>
      <w:r w:rsidRPr="00622335">
        <w:rPr>
          <w:rFonts w:eastAsia="Calibri"/>
          <w:lang w:val="en-GB" w:bidi="ar-SA"/>
        </w:rPr>
        <w:t xml:space="preserve">The stability of </w:t>
      </w:r>
      <w:r w:rsidR="00FD7080" w:rsidRPr="00622335">
        <w:rPr>
          <w:rFonts w:eastAsia="Calibri"/>
          <w:lang w:val="en-GB" w:bidi="ar-SA"/>
        </w:rPr>
        <w:t>DHA-B</w:t>
      </w:r>
      <w:r w:rsidRPr="00622335">
        <w:rPr>
          <w:rFonts w:eastAsia="Calibri"/>
          <w:lang w:val="en-GB" w:bidi="ar-SA"/>
        </w:rPr>
        <w:t xml:space="preserve"> within a food matrix such as </w:t>
      </w:r>
      <w:r w:rsidR="00FA31C9">
        <w:rPr>
          <w:rFonts w:eastAsia="Calibri"/>
          <w:lang w:val="en-GB" w:bidi="ar-SA"/>
        </w:rPr>
        <w:t>infant formula products</w:t>
      </w:r>
      <w:r w:rsidR="00FA31C9" w:rsidRPr="00622335">
        <w:rPr>
          <w:rFonts w:eastAsia="Calibri"/>
          <w:lang w:val="en-GB" w:bidi="ar-SA"/>
        </w:rPr>
        <w:t xml:space="preserve"> </w:t>
      </w:r>
      <w:r w:rsidRPr="00622335">
        <w:rPr>
          <w:rFonts w:eastAsia="Calibri"/>
          <w:lang w:val="en-GB" w:bidi="ar-SA"/>
        </w:rPr>
        <w:t>is assured. An analytical method (AOCS Ce 1b-89) is available for compliance of DHA oils against specifications contained within</w:t>
      </w:r>
      <w:r w:rsidRPr="00622335" w:rsidDel="00330FC7">
        <w:rPr>
          <w:rFonts w:eastAsia="Calibri"/>
          <w:lang w:val="en-GB" w:bidi="ar-SA"/>
        </w:rPr>
        <w:t xml:space="preserve"> </w:t>
      </w:r>
      <w:r w:rsidRPr="00622335">
        <w:rPr>
          <w:rFonts w:eastAsia="Calibri"/>
          <w:lang w:val="en-GB" w:bidi="ar-SA"/>
        </w:rPr>
        <w:t>section S3</w:t>
      </w:r>
      <w:r w:rsidR="00FA31C9">
        <w:rPr>
          <w:rFonts w:eastAsia="Calibri"/>
          <w:lang w:val="en-GB" w:bidi="ar-SA"/>
        </w:rPr>
        <w:t>—</w:t>
      </w:r>
      <w:r w:rsidRPr="00622335">
        <w:rPr>
          <w:rFonts w:eastAsia="Calibri"/>
          <w:lang w:val="en-GB" w:bidi="ar-SA"/>
        </w:rPr>
        <w:t xml:space="preserve">21 of the Code. </w:t>
      </w:r>
    </w:p>
    <w:p w14:paraId="617D7BCA" w14:textId="4A1EBDFE" w:rsidR="00FE490D" w:rsidRPr="00622335" w:rsidRDefault="00FE490D" w:rsidP="00FE490D">
      <w:pPr>
        <w:rPr>
          <w:rFonts w:eastAsia="Calibri"/>
          <w:lang w:val="en-GB" w:bidi="ar-SA"/>
        </w:rPr>
      </w:pPr>
    </w:p>
    <w:p w14:paraId="7F4B0B1D" w14:textId="1B009F88" w:rsidR="00622335" w:rsidRDefault="00E452E9" w:rsidP="00622335">
      <w:pPr>
        <w:rPr>
          <w:lang w:val="en-GB"/>
        </w:rPr>
      </w:pPr>
      <w:r w:rsidRPr="00622335">
        <w:rPr>
          <w:rFonts w:eastAsia="Calibri"/>
          <w:lang w:val="en-GB" w:bidi="ar-SA"/>
        </w:rPr>
        <w:t xml:space="preserve">A </w:t>
      </w:r>
      <w:r w:rsidR="0040591A" w:rsidRPr="00622335">
        <w:rPr>
          <w:rFonts w:eastAsia="Calibri"/>
          <w:lang w:val="en-GB" w:bidi="ar-SA"/>
        </w:rPr>
        <w:t>new specification will be added for</w:t>
      </w:r>
      <w:r w:rsidR="0040591A" w:rsidRPr="00622335">
        <w:rPr>
          <w:lang w:val="en-GB"/>
        </w:rPr>
        <w:t xml:space="preserve"> DHA-rich algal oil from </w:t>
      </w:r>
      <w:r w:rsidR="0040591A" w:rsidRPr="00622335">
        <w:rPr>
          <w:i/>
          <w:lang w:val="en-GB"/>
        </w:rPr>
        <w:t>Schizochytrium sp.</w:t>
      </w:r>
      <w:r w:rsidR="0040591A" w:rsidRPr="00622335">
        <w:rPr>
          <w:lang w:val="en-GB"/>
        </w:rPr>
        <w:t xml:space="preserve"> American Type Culture Collection (ATCC) PTA-9695. </w:t>
      </w:r>
    </w:p>
    <w:p w14:paraId="078232BC" w14:textId="3A4E8808" w:rsidR="00A6245D" w:rsidRPr="00622335" w:rsidRDefault="00BE3399" w:rsidP="00622335">
      <w:pPr>
        <w:pStyle w:val="Heading1"/>
        <w:numPr>
          <w:ilvl w:val="0"/>
          <w:numId w:val="11"/>
        </w:numPr>
        <w:ind w:left="567" w:hanging="567"/>
      </w:pPr>
      <w:bookmarkStart w:id="28" w:name="_Toc464129772"/>
      <w:r>
        <w:t>Hazard a</w:t>
      </w:r>
      <w:r w:rsidR="00A6245D" w:rsidRPr="00622335">
        <w:t>ssessment</w:t>
      </w:r>
      <w:bookmarkEnd w:id="16"/>
      <w:bookmarkEnd w:id="28"/>
    </w:p>
    <w:p w14:paraId="5574A3B3" w14:textId="4F5140F6" w:rsidR="00303EC3" w:rsidRPr="00622335" w:rsidRDefault="00303EC3" w:rsidP="006D346D">
      <w:bookmarkStart w:id="29" w:name="_Toc457821682"/>
      <w:bookmarkEnd w:id="17"/>
      <w:bookmarkEnd w:id="29"/>
      <w:r w:rsidRPr="00622335">
        <w:t xml:space="preserve">FSANZ has assessed the submitted evidence on the safety of </w:t>
      </w:r>
      <w:r w:rsidR="00FD7080" w:rsidRPr="00622335">
        <w:t>DHA-B</w:t>
      </w:r>
      <w:r w:rsidRPr="00622335">
        <w:t xml:space="preserve">, as well as additional information in the scientific literature. The submitted data, together with information from other sources, are considered suitable for hazard assessment of </w:t>
      </w:r>
      <w:r w:rsidR="00FD7080" w:rsidRPr="00622335">
        <w:t>DHA-B</w:t>
      </w:r>
      <w:r w:rsidRPr="00622335">
        <w:t>.</w:t>
      </w:r>
    </w:p>
    <w:p w14:paraId="039ADC36" w14:textId="2A48D7E7" w:rsidR="00303EC3" w:rsidRPr="00A76FA6" w:rsidRDefault="002B507B" w:rsidP="00CB73A8">
      <w:pPr>
        <w:pStyle w:val="Heading2"/>
      </w:pPr>
      <w:bookmarkStart w:id="30" w:name="_Toc456609497"/>
      <w:bookmarkStart w:id="31" w:name="_Toc457821684"/>
      <w:bookmarkStart w:id="32" w:name="_Toc464129773"/>
      <w:r w:rsidRPr="00FE490D">
        <w:t>3</w:t>
      </w:r>
      <w:r w:rsidR="009613B0" w:rsidRPr="00FE490D">
        <w:t>.</w:t>
      </w:r>
      <w:r w:rsidR="006D346D" w:rsidRPr="00FE490D">
        <w:t>1</w:t>
      </w:r>
      <w:r w:rsidR="009613B0" w:rsidRPr="00FE490D">
        <w:tab/>
      </w:r>
      <w:r w:rsidR="00303EC3" w:rsidRPr="00A76FA6">
        <w:t>Pharmacokinetics</w:t>
      </w:r>
      <w:bookmarkEnd w:id="30"/>
      <w:bookmarkEnd w:id="31"/>
      <w:bookmarkEnd w:id="32"/>
    </w:p>
    <w:p w14:paraId="7A870DAC" w14:textId="52131500" w:rsidR="009613B0" w:rsidRPr="008C459D" w:rsidRDefault="00FD7080" w:rsidP="00303EC3">
      <w:pPr>
        <w:rPr>
          <w:lang w:val="en-GB" w:bidi="ar-SA"/>
        </w:rPr>
      </w:pPr>
      <w:r w:rsidRPr="008C459D">
        <w:rPr>
          <w:lang w:val="en-GB" w:bidi="ar-SA"/>
        </w:rPr>
        <w:t>DHA-B</w:t>
      </w:r>
      <w:r w:rsidR="00825642" w:rsidRPr="008C459D">
        <w:rPr>
          <w:vertAlign w:val="superscript"/>
          <w:lang w:val="en-GB" w:bidi="ar-SA"/>
        </w:rPr>
        <w:t>®</w:t>
      </w:r>
      <w:r w:rsidR="00303EC3" w:rsidRPr="008C459D">
        <w:rPr>
          <w:lang w:val="en-GB" w:bidi="ar-SA"/>
        </w:rPr>
        <w:t xml:space="preserve"> is composed primarily of triglycerides. The pharmacokinetics of triglycerides have been extensively described in the scientific literature on nutrition and there is no new information beyond that summari</w:t>
      </w:r>
      <w:r w:rsidR="00C94E0D" w:rsidRPr="008C459D">
        <w:rPr>
          <w:lang w:val="en-GB" w:bidi="ar-SA"/>
        </w:rPr>
        <w:t>s</w:t>
      </w:r>
      <w:r w:rsidR="00303EC3" w:rsidRPr="008C459D">
        <w:rPr>
          <w:lang w:val="en-GB" w:bidi="ar-SA"/>
        </w:rPr>
        <w:t>ed in the Safety Assessment report for DHASCO</w:t>
      </w:r>
      <w:r w:rsidR="00303EC3" w:rsidRPr="008C459D">
        <w:rPr>
          <w:vertAlign w:val="superscript"/>
          <w:lang w:val="en-GB" w:bidi="ar-SA"/>
        </w:rPr>
        <w:t>®</w:t>
      </w:r>
      <w:r w:rsidR="00303EC3" w:rsidRPr="008C459D">
        <w:rPr>
          <w:lang w:val="en-GB" w:bidi="ar-SA"/>
        </w:rPr>
        <w:t xml:space="preserve"> prepared for Proposal P93.</w:t>
      </w:r>
    </w:p>
    <w:p w14:paraId="647117EF" w14:textId="2934BBD3" w:rsidR="00303EC3" w:rsidRPr="00A76FA6" w:rsidRDefault="002B507B" w:rsidP="00CB73A8">
      <w:pPr>
        <w:pStyle w:val="Heading2"/>
      </w:pPr>
      <w:bookmarkStart w:id="33" w:name="_Toc456609498"/>
      <w:bookmarkStart w:id="34" w:name="_Toc457821685"/>
      <w:bookmarkStart w:id="35" w:name="_Toc464129774"/>
      <w:r w:rsidRPr="00FE490D">
        <w:t>3</w:t>
      </w:r>
      <w:r w:rsidR="009613B0" w:rsidRPr="00FE490D">
        <w:t>.</w:t>
      </w:r>
      <w:r w:rsidR="00A76FA6">
        <w:t>2</w:t>
      </w:r>
      <w:r w:rsidR="009613B0" w:rsidRPr="00FE490D">
        <w:tab/>
      </w:r>
      <w:r w:rsidR="00303EC3" w:rsidRPr="00FE490D">
        <w:t xml:space="preserve">History of </w:t>
      </w:r>
      <w:r w:rsidR="00A11242" w:rsidRPr="00FE490D">
        <w:t>h</w:t>
      </w:r>
      <w:r w:rsidR="00303EC3" w:rsidRPr="00A76FA6">
        <w:t xml:space="preserve">uman </w:t>
      </w:r>
      <w:r w:rsidR="00A11242" w:rsidRPr="00A76FA6">
        <w:t>e</w:t>
      </w:r>
      <w:r w:rsidR="00303EC3" w:rsidRPr="00A76FA6">
        <w:t xml:space="preserve">xposure and </w:t>
      </w:r>
      <w:r w:rsidR="00A11242" w:rsidRPr="00A76FA6">
        <w:t>c</w:t>
      </w:r>
      <w:r w:rsidR="00303EC3" w:rsidRPr="00A76FA6">
        <w:t>onsumption</w:t>
      </w:r>
      <w:bookmarkEnd w:id="33"/>
      <w:bookmarkEnd w:id="34"/>
      <w:bookmarkEnd w:id="35"/>
    </w:p>
    <w:p w14:paraId="3AD8A548" w14:textId="2127E28A" w:rsidR="00303EC3" w:rsidRPr="008C459D" w:rsidRDefault="002B507B" w:rsidP="00FE490D">
      <w:pPr>
        <w:pStyle w:val="Heading3"/>
        <w:rPr>
          <w:lang w:val="en-GB"/>
        </w:rPr>
      </w:pPr>
      <w:bookmarkStart w:id="36" w:name="_Toc464129775"/>
      <w:r w:rsidRPr="008C459D">
        <w:rPr>
          <w:lang w:val="en-GB"/>
        </w:rPr>
        <w:t>3</w:t>
      </w:r>
      <w:r w:rsidR="009613B0" w:rsidRPr="008C459D">
        <w:rPr>
          <w:lang w:val="en-GB"/>
        </w:rPr>
        <w:t>.</w:t>
      </w:r>
      <w:r w:rsidR="00A76FA6">
        <w:rPr>
          <w:lang w:val="en-GB"/>
        </w:rPr>
        <w:t>2</w:t>
      </w:r>
      <w:r w:rsidR="009613B0" w:rsidRPr="008C459D">
        <w:rPr>
          <w:lang w:val="en-GB"/>
        </w:rPr>
        <w:t>.1</w:t>
      </w:r>
      <w:r w:rsidR="009613B0" w:rsidRPr="008C459D">
        <w:rPr>
          <w:lang w:val="en-GB"/>
        </w:rPr>
        <w:tab/>
      </w:r>
      <w:r w:rsidR="00303EC3" w:rsidRPr="008C459D">
        <w:rPr>
          <w:lang w:val="en-GB"/>
        </w:rPr>
        <w:t>Source organism</w:t>
      </w:r>
      <w:bookmarkEnd w:id="36"/>
    </w:p>
    <w:p w14:paraId="24498BC8" w14:textId="23A35F3F" w:rsidR="00303EC3" w:rsidRPr="008C459D" w:rsidRDefault="00303EC3" w:rsidP="00303EC3">
      <w:pPr>
        <w:rPr>
          <w:lang w:val="en-GB" w:bidi="ar-SA"/>
        </w:rPr>
      </w:pPr>
      <w:r w:rsidRPr="008C459D">
        <w:rPr>
          <w:lang w:val="en-GB" w:bidi="ar-SA"/>
        </w:rPr>
        <w:t xml:space="preserve">The source organism of </w:t>
      </w:r>
      <w:r w:rsidR="00FD7080" w:rsidRPr="008C459D">
        <w:rPr>
          <w:lang w:val="en-GB" w:bidi="ar-SA"/>
        </w:rPr>
        <w:t>DHA-B</w:t>
      </w:r>
      <w:r w:rsidRPr="008C459D">
        <w:rPr>
          <w:lang w:val="en-GB" w:bidi="ar-SA"/>
        </w:rPr>
        <w:t xml:space="preserve"> is a strain of micro</w:t>
      </w:r>
      <w:r w:rsidR="00C94E0D" w:rsidRPr="008C459D">
        <w:rPr>
          <w:lang w:val="en-GB" w:bidi="ar-SA"/>
        </w:rPr>
        <w:t>-algal</w:t>
      </w:r>
      <w:r w:rsidRPr="008C459D">
        <w:rPr>
          <w:lang w:val="en-GB" w:bidi="ar-SA"/>
        </w:rPr>
        <w:t xml:space="preserve"> species within the genus </w:t>
      </w:r>
      <w:r w:rsidRPr="008C459D">
        <w:rPr>
          <w:i/>
          <w:lang w:val="en-GB" w:bidi="ar-SA"/>
        </w:rPr>
        <w:t>Schizochytrium</w:t>
      </w:r>
      <w:r w:rsidRPr="008C459D">
        <w:rPr>
          <w:lang w:val="en-GB" w:bidi="ar-SA"/>
        </w:rPr>
        <w:t xml:space="preserve">. </w:t>
      </w:r>
      <w:r w:rsidRPr="008C459D">
        <w:rPr>
          <w:i/>
          <w:lang w:val="en-GB" w:bidi="ar-SA"/>
        </w:rPr>
        <w:t xml:space="preserve">Schizochytrium </w:t>
      </w:r>
      <w:r w:rsidRPr="008C459D">
        <w:rPr>
          <w:lang w:val="en-GB" w:bidi="ar-SA"/>
        </w:rPr>
        <w:t>species occur widely in water and are indirect components of the human food chain through the consumption of fish and other marine animals that feed on micro</w:t>
      </w:r>
      <w:r w:rsidR="0045057C" w:rsidRPr="008C459D">
        <w:rPr>
          <w:lang w:val="en-GB" w:bidi="ar-SA"/>
        </w:rPr>
        <w:t>-</w:t>
      </w:r>
      <w:r w:rsidRPr="008C459D">
        <w:rPr>
          <w:lang w:val="en-GB" w:bidi="ar-SA"/>
        </w:rPr>
        <w:t>algae. Direct human consumption also occurs, through consumption of shellfish such as mussels and clams.</w:t>
      </w:r>
      <w:r w:rsidR="00BA7307" w:rsidRPr="008C459D">
        <w:rPr>
          <w:lang w:val="en-GB" w:bidi="ar-SA"/>
        </w:rPr>
        <w:t xml:space="preserve"> </w:t>
      </w:r>
      <w:r w:rsidRPr="008C459D">
        <w:rPr>
          <w:lang w:val="en-GB" w:bidi="ar-SA"/>
        </w:rPr>
        <w:t>These micro</w:t>
      </w:r>
      <w:r w:rsidR="0045057C" w:rsidRPr="008C459D">
        <w:rPr>
          <w:lang w:val="en-GB" w:bidi="ar-SA"/>
        </w:rPr>
        <w:t>-</w:t>
      </w:r>
      <w:r w:rsidRPr="008C459D">
        <w:rPr>
          <w:lang w:val="en-GB" w:bidi="ar-SA"/>
        </w:rPr>
        <w:t>algae are thraustochytrids, and there are no known toxic compounds synthesi</w:t>
      </w:r>
      <w:r w:rsidR="00C94E0D" w:rsidRPr="008C459D">
        <w:rPr>
          <w:lang w:val="en-GB" w:bidi="ar-SA"/>
        </w:rPr>
        <w:t>s</w:t>
      </w:r>
      <w:r w:rsidRPr="008C459D">
        <w:rPr>
          <w:lang w:val="en-GB" w:bidi="ar-SA"/>
        </w:rPr>
        <w:t>ed by any thraustochytrids.</w:t>
      </w:r>
    </w:p>
    <w:p w14:paraId="79947226" w14:textId="5DF463D8" w:rsidR="00303EC3" w:rsidRPr="008C459D" w:rsidRDefault="002B507B" w:rsidP="00FE490D">
      <w:pPr>
        <w:pStyle w:val="Heading3"/>
        <w:rPr>
          <w:lang w:val="en-GB"/>
        </w:rPr>
      </w:pPr>
      <w:bookmarkStart w:id="37" w:name="_Toc464129776"/>
      <w:r w:rsidRPr="008C459D">
        <w:rPr>
          <w:lang w:val="en-GB"/>
        </w:rPr>
        <w:t>3</w:t>
      </w:r>
      <w:r w:rsidR="009613B0" w:rsidRPr="008C459D">
        <w:rPr>
          <w:lang w:val="en-GB"/>
        </w:rPr>
        <w:t>.</w:t>
      </w:r>
      <w:r w:rsidR="00A76FA6">
        <w:rPr>
          <w:lang w:val="en-GB"/>
        </w:rPr>
        <w:t>2</w:t>
      </w:r>
      <w:r w:rsidR="009613B0" w:rsidRPr="008C459D">
        <w:rPr>
          <w:lang w:val="en-GB"/>
        </w:rPr>
        <w:t>.</w:t>
      </w:r>
      <w:r w:rsidR="004462D3" w:rsidRPr="008C459D">
        <w:rPr>
          <w:lang w:val="en-GB"/>
        </w:rPr>
        <w:t>2</w:t>
      </w:r>
      <w:r w:rsidR="009613B0" w:rsidRPr="008C459D">
        <w:rPr>
          <w:lang w:val="en-GB"/>
        </w:rPr>
        <w:tab/>
      </w:r>
      <w:r w:rsidR="00303EC3" w:rsidRPr="008C459D">
        <w:rPr>
          <w:lang w:val="en-GB"/>
        </w:rPr>
        <w:t>DHA-rich algal oils</w:t>
      </w:r>
      <w:bookmarkEnd w:id="37"/>
    </w:p>
    <w:p w14:paraId="49201E95" w14:textId="57D65EAD" w:rsidR="00303EC3" w:rsidRPr="00A25545" w:rsidRDefault="004462D3" w:rsidP="00BE3399">
      <w:pPr>
        <w:ind w:right="-144"/>
        <w:rPr>
          <w:lang w:val="en-GB" w:bidi="ar-SA"/>
        </w:rPr>
      </w:pPr>
      <w:r w:rsidRPr="008C459D">
        <w:rPr>
          <w:lang w:val="en-GB" w:bidi="ar-SA"/>
        </w:rPr>
        <w:t xml:space="preserve">Omega-3, or n-3, LC-PUFA, including DHA, EPA, and docosapentaenoic acid (DPA) are normal components of </w:t>
      </w:r>
      <w:r w:rsidR="00AD603F">
        <w:rPr>
          <w:lang w:val="en-GB" w:bidi="ar-SA"/>
        </w:rPr>
        <w:t>breast milk</w:t>
      </w:r>
      <w:r w:rsidRPr="008C459D">
        <w:rPr>
          <w:lang w:val="en-GB" w:bidi="ar-SA"/>
        </w:rPr>
        <w:t xml:space="preserve"> (Innis 2008; Morse 2012). </w:t>
      </w:r>
      <w:r w:rsidR="00303EC3" w:rsidRPr="008C459D">
        <w:rPr>
          <w:lang w:val="en-GB" w:bidi="ar-SA"/>
        </w:rPr>
        <w:t>DHA</w:t>
      </w:r>
      <w:r w:rsidR="005F0105" w:rsidRPr="008C459D">
        <w:rPr>
          <w:lang w:val="en-GB" w:bidi="ar-SA"/>
        </w:rPr>
        <w:t xml:space="preserve">-rich algal oils have been </w:t>
      </w:r>
      <w:r w:rsidR="00303EC3" w:rsidRPr="008C459D">
        <w:rPr>
          <w:lang w:val="en-GB" w:bidi="ar-SA"/>
        </w:rPr>
        <w:t xml:space="preserve">added to infant formula </w:t>
      </w:r>
      <w:r w:rsidR="00200B76">
        <w:rPr>
          <w:lang w:val="en-GB" w:bidi="ar-SA"/>
        </w:rPr>
        <w:t xml:space="preserve">products </w:t>
      </w:r>
      <w:r w:rsidR="00303EC3" w:rsidRPr="008C459D">
        <w:rPr>
          <w:lang w:val="en-GB" w:bidi="ar-SA"/>
        </w:rPr>
        <w:t xml:space="preserve">sold in Australia and New Zealand since 1998. </w:t>
      </w:r>
      <w:r w:rsidR="005F0105" w:rsidRPr="008C459D">
        <w:rPr>
          <w:lang w:val="en-GB" w:bidi="ar-SA"/>
        </w:rPr>
        <w:t>These oils have also been added to infant formula</w:t>
      </w:r>
      <w:r w:rsidR="00200B76">
        <w:rPr>
          <w:lang w:val="en-GB" w:bidi="ar-SA"/>
        </w:rPr>
        <w:t xml:space="preserve"> products</w:t>
      </w:r>
      <w:r w:rsidR="005F0105" w:rsidRPr="008C459D">
        <w:rPr>
          <w:lang w:val="en-GB" w:bidi="ar-SA"/>
        </w:rPr>
        <w:t xml:space="preserve"> in numerous other countries since the 1990s. </w:t>
      </w:r>
      <w:r w:rsidR="00FE159C" w:rsidRPr="008C459D">
        <w:rPr>
          <w:lang w:val="en-GB" w:bidi="ar-SA"/>
        </w:rPr>
        <w:t xml:space="preserve">Since these oils were first permitted in </w:t>
      </w:r>
      <w:r w:rsidR="00200B76">
        <w:rPr>
          <w:lang w:val="en-GB" w:bidi="ar-SA"/>
        </w:rPr>
        <w:t>infant formula products</w:t>
      </w:r>
      <w:r w:rsidR="00FE159C" w:rsidRPr="008C459D">
        <w:rPr>
          <w:lang w:val="en-GB" w:bidi="ar-SA"/>
        </w:rPr>
        <w:t>, t</w:t>
      </w:r>
      <w:r w:rsidR="00303EC3" w:rsidRPr="008C459D">
        <w:rPr>
          <w:lang w:val="en-GB" w:bidi="ar-SA"/>
        </w:rPr>
        <w:t>he US</w:t>
      </w:r>
      <w:r w:rsidR="008C459D">
        <w:rPr>
          <w:lang w:val="en-GB" w:bidi="ar-SA"/>
        </w:rPr>
        <w:t xml:space="preserve"> </w:t>
      </w:r>
      <w:r w:rsidR="00303EC3" w:rsidRPr="008C459D">
        <w:rPr>
          <w:lang w:val="en-GB" w:bidi="ar-SA"/>
        </w:rPr>
        <w:t xml:space="preserve">FDA has conducted a comprehensive analysis of infant formula adverse event reports in the CFSAN Adverse Event Reporting System (CAERS) database, with particular focus on adverse events related to the gastrointestinal system. The analysis covered the period from 2000, which was before the introduction of </w:t>
      </w:r>
      <w:r w:rsidRPr="008C459D">
        <w:rPr>
          <w:lang w:val="en-GB" w:bidi="ar-SA"/>
        </w:rPr>
        <w:t xml:space="preserve">the </w:t>
      </w:r>
      <w:r w:rsidR="00303EC3" w:rsidRPr="008C459D">
        <w:rPr>
          <w:lang w:val="en-GB" w:bidi="ar-SA"/>
        </w:rPr>
        <w:t>DHA</w:t>
      </w:r>
      <w:r w:rsidRPr="008C459D">
        <w:rPr>
          <w:lang w:val="en-GB" w:bidi="ar-SA"/>
        </w:rPr>
        <w:t>-rich algal</w:t>
      </w:r>
      <w:r w:rsidR="00303EC3" w:rsidRPr="008C459D">
        <w:rPr>
          <w:lang w:val="en-GB" w:bidi="ar-SA"/>
        </w:rPr>
        <w:t xml:space="preserve"> oils, to 2009, when practically all infant formulas contained such oils. The </w:t>
      </w:r>
      <w:r w:rsidR="00A76FA6">
        <w:rPr>
          <w:lang w:val="en-GB" w:bidi="ar-SA"/>
        </w:rPr>
        <w:t>US</w:t>
      </w:r>
      <w:r w:rsidR="008C459D">
        <w:rPr>
          <w:lang w:val="en-GB" w:bidi="ar-SA"/>
        </w:rPr>
        <w:t xml:space="preserve"> </w:t>
      </w:r>
      <w:r w:rsidR="00303EC3" w:rsidRPr="00A25545">
        <w:rPr>
          <w:lang w:val="en-GB" w:bidi="ar-SA"/>
        </w:rPr>
        <w:t>FDA concluded that there were no significant increases in the proportion of adverse gastrointestinal events over the time interval (U</w:t>
      </w:r>
      <w:r w:rsidR="00F22D0A" w:rsidRPr="00A25545">
        <w:rPr>
          <w:lang w:val="en-GB" w:bidi="ar-SA"/>
        </w:rPr>
        <w:t>S</w:t>
      </w:r>
      <w:r w:rsidR="00303EC3" w:rsidRPr="00A25545">
        <w:rPr>
          <w:lang w:val="en-GB" w:bidi="ar-SA"/>
        </w:rPr>
        <w:t xml:space="preserve"> FDA, 2011).</w:t>
      </w:r>
    </w:p>
    <w:p w14:paraId="68B0B8F8" w14:textId="62D88190" w:rsidR="00303EC3" w:rsidRPr="00FE490D" w:rsidRDefault="002B507B" w:rsidP="00CE7FB6">
      <w:pPr>
        <w:pStyle w:val="Heading2"/>
      </w:pPr>
      <w:bookmarkStart w:id="38" w:name="_Toc456609499"/>
      <w:bookmarkStart w:id="39" w:name="_Toc457821686"/>
      <w:bookmarkStart w:id="40" w:name="_Toc464129777"/>
      <w:r w:rsidRPr="00FE490D">
        <w:lastRenderedPageBreak/>
        <w:t>3</w:t>
      </w:r>
      <w:r w:rsidR="009613B0" w:rsidRPr="00FE490D">
        <w:t>.</w:t>
      </w:r>
      <w:r w:rsidR="00A76FA6">
        <w:t>3</w:t>
      </w:r>
      <w:r w:rsidR="009613B0" w:rsidRPr="00FE490D">
        <w:tab/>
      </w:r>
      <w:r w:rsidR="00303EC3" w:rsidRPr="00FE490D">
        <w:t>Genotoxicity studies</w:t>
      </w:r>
      <w:bookmarkEnd w:id="38"/>
      <w:bookmarkEnd w:id="39"/>
      <w:bookmarkEnd w:id="40"/>
    </w:p>
    <w:p w14:paraId="5E996CA3" w14:textId="00BF9CF9" w:rsidR="00303EC3" w:rsidRPr="00A25545" w:rsidRDefault="002B507B" w:rsidP="00FE490D">
      <w:pPr>
        <w:pStyle w:val="Heading3"/>
        <w:rPr>
          <w:lang w:val="en-GB"/>
        </w:rPr>
      </w:pPr>
      <w:bookmarkStart w:id="41" w:name="_Toc464129778"/>
      <w:r w:rsidRPr="00A25545">
        <w:rPr>
          <w:lang w:val="en-GB"/>
        </w:rPr>
        <w:t>3</w:t>
      </w:r>
      <w:r w:rsidR="009613B0" w:rsidRPr="00A25545">
        <w:rPr>
          <w:lang w:val="en-GB"/>
        </w:rPr>
        <w:t>.</w:t>
      </w:r>
      <w:r w:rsidR="00A76FA6">
        <w:rPr>
          <w:lang w:val="en-GB"/>
        </w:rPr>
        <w:t>3</w:t>
      </w:r>
      <w:r w:rsidR="009613B0" w:rsidRPr="00A25545">
        <w:rPr>
          <w:lang w:val="en-GB"/>
        </w:rPr>
        <w:t>.1</w:t>
      </w:r>
      <w:r w:rsidR="009613B0" w:rsidRPr="00A25545">
        <w:rPr>
          <w:lang w:val="en-GB"/>
        </w:rPr>
        <w:tab/>
      </w:r>
      <w:r w:rsidR="00303EC3" w:rsidRPr="00A25545">
        <w:rPr>
          <w:lang w:val="en-GB"/>
        </w:rPr>
        <w:t>Source organism</w:t>
      </w:r>
      <w:bookmarkEnd w:id="41"/>
    </w:p>
    <w:p w14:paraId="3EE9915E" w14:textId="01EE2248" w:rsidR="00303EC3" w:rsidRPr="00A25545" w:rsidRDefault="00303EC3" w:rsidP="00A25545">
      <w:pPr>
        <w:pStyle w:val="Heading4"/>
        <w:rPr>
          <w:lang w:val="en-GB"/>
        </w:rPr>
      </w:pPr>
      <w:r w:rsidRPr="00A25545">
        <w:rPr>
          <w:lang w:val="en-GB"/>
        </w:rPr>
        <w:t>Bacterial reverse mutation assay (Hammond et al. 2002)</w:t>
      </w:r>
    </w:p>
    <w:p w14:paraId="217A890F" w14:textId="40E2C0A0" w:rsidR="00303EC3" w:rsidRPr="00A25545" w:rsidRDefault="00303EC3" w:rsidP="00BE3399">
      <w:pPr>
        <w:rPr>
          <w:lang w:val="en-GB" w:bidi="ar-SA"/>
        </w:rPr>
      </w:pPr>
      <w:r w:rsidRPr="00A25545">
        <w:rPr>
          <w:lang w:val="en-GB" w:bidi="ar-SA"/>
        </w:rPr>
        <w:t>For the purpose of this assay, DHA-rich dried microalgae (DRM) were fully lysed by homogeni</w:t>
      </w:r>
      <w:r w:rsidR="00C94E0D" w:rsidRPr="00A25545">
        <w:rPr>
          <w:lang w:val="en-GB" w:bidi="ar-SA"/>
        </w:rPr>
        <w:t>s</w:t>
      </w:r>
      <w:r w:rsidRPr="00A25545">
        <w:rPr>
          <w:lang w:val="en-GB" w:bidi="ar-SA"/>
        </w:rPr>
        <w:t xml:space="preserve">ation. Concentration, stability and homogeneity of this test preparation was confirmed prior to and following the assay. Initial toxicity testing, to define dose levels for mutagenicity testing, was conducted with </w:t>
      </w:r>
      <w:r w:rsidRPr="00A25545">
        <w:rPr>
          <w:i/>
          <w:lang w:val="en-GB" w:bidi="ar-SA"/>
        </w:rPr>
        <w:t>Salmonella typhimurium</w:t>
      </w:r>
      <w:r w:rsidRPr="00A25545">
        <w:rPr>
          <w:lang w:val="en-GB" w:bidi="ar-SA"/>
        </w:rPr>
        <w:t xml:space="preserve"> test strain TA100 with and without S9. Mutagenicity testing was conducted in triplicate using plate incorporation and preincubation assay methods using five </w:t>
      </w:r>
      <w:r w:rsidRPr="00A25545">
        <w:rPr>
          <w:i/>
          <w:lang w:val="en-GB" w:bidi="ar-SA"/>
        </w:rPr>
        <w:t>S</w:t>
      </w:r>
      <w:r w:rsidR="00BE3399">
        <w:rPr>
          <w:i/>
          <w:lang w:val="en-GB" w:bidi="ar-SA"/>
        </w:rPr>
        <w:t>.</w:t>
      </w:r>
      <w:r w:rsidRPr="00A25545">
        <w:rPr>
          <w:i/>
          <w:lang w:val="en-GB" w:bidi="ar-SA"/>
        </w:rPr>
        <w:t xml:space="preserve"> typhimurium</w:t>
      </w:r>
      <w:r w:rsidRPr="00A25545">
        <w:rPr>
          <w:lang w:val="en-GB" w:bidi="ar-SA"/>
        </w:rPr>
        <w:t xml:space="preserve"> test strains (TA98, TA100, TA102, TA1535 and TA1537), with and without S9 fraction. Concurrent assays with positive and negative controls were also conducted. Revertant colonies were counted after incubation for at least 48 hours at 37</w:t>
      </w:r>
      <w:r w:rsidRPr="00A25545">
        <w:rPr>
          <w:rFonts w:cs="Arial"/>
          <w:lang w:val="en-GB" w:bidi="ar-SA"/>
        </w:rPr>
        <w:t>±</w:t>
      </w:r>
      <w:r w:rsidRPr="00A25545">
        <w:rPr>
          <w:lang w:val="en-GB" w:bidi="ar-SA"/>
        </w:rPr>
        <w:t>1</w:t>
      </w:r>
      <w:r w:rsidRPr="00A25545">
        <w:rPr>
          <w:rFonts w:cs="Arial"/>
          <w:lang w:val="en-GB" w:bidi="ar-SA"/>
        </w:rPr>
        <w:t>º</w:t>
      </w:r>
      <w:r w:rsidRPr="00A25545">
        <w:rPr>
          <w:lang w:val="en-GB" w:bidi="ar-SA"/>
        </w:rPr>
        <w:t xml:space="preserve"> C.</w:t>
      </w:r>
    </w:p>
    <w:p w14:paraId="74E8C9FB" w14:textId="77777777" w:rsidR="00303EC3" w:rsidRPr="00A25545" w:rsidRDefault="00303EC3" w:rsidP="00303EC3">
      <w:pPr>
        <w:rPr>
          <w:lang w:val="en-GB" w:bidi="ar-SA"/>
        </w:rPr>
      </w:pPr>
    </w:p>
    <w:p w14:paraId="2199919B" w14:textId="547457C2" w:rsidR="00303EC3" w:rsidRPr="00A25545" w:rsidRDefault="00303EC3" w:rsidP="00303EC3">
      <w:pPr>
        <w:rPr>
          <w:lang w:val="en-GB" w:bidi="ar-SA"/>
        </w:rPr>
      </w:pPr>
      <w:r w:rsidRPr="00A25545">
        <w:rPr>
          <w:lang w:val="en-GB" w:bidi="ar-SA"/>
        </w:rPr>
        <w:t xml:space="preserve">In initial toxicity testing, no toxicity was observed with DRM levels up to 5000 </w:t>
      </w:r>
      <w:r w:rsidRPr="00A25545">
        <w:rPr>
          <w:rFonts w:cs="Arial"/>
          <w:lang w:val="en-GB" w:bidi="ar-SA"/>
        </w:rPr>
        <w:t>µ</w:t>
      </w:r>
      <w:r w:rsidRPr="00A25545">
        <w:rPr>
          <w:lang w:val="en-GB" w:bidi="ar-SA"/>
        </w:rPr>
        <w:t xml:space="preserve">g/plate, with or without metabolic activation, but precipitation of DRM at levels higher than 500 </w:t>
      </w:r>
      <w:r w:rsidRPr="00A25545">
        <w:rPr>
          <w:rFonts w:cs="Arial"/>
          <w:lang w:val="en-GB" w:bidi="ar-SA"/>
        </w:rPr>
        <w:t>µ</w:t>
      </w:r>
      <w:r w:rsidRPr="00A25545">
        <w:rPr>
          <w:lang w:val="en-GB" w:bidi="ar-SA"/>
        </w:rPr>
        <w:t xml:space="preserve">g/plate interfered with the counting of revertant colonies, and therefore the highest DRM treatment level for the mutagenicity assay was set at 500 </w:t>
      </w:r>
      <w:r w:rsidRPr="00A25545">
        <w:rPr>
          <w:rFonts w:cs="Arial"/>
          <w:lang w:val="en-GB" w:bidi="ar-SA"/>
        </w:rPr>
        <w:t>µ</w:t>
      </w:r>
      <w:r w:rsidRPr="00A25545">
        <w:rPr>
          <w:lang w:val="en-GB" w:bidi="ar-SA"/>
        </w:rPr>
        <w:t xml:space="preserve">g/plate, with additional treatment levels of 5, 15, 50 and 150 </w:t>
      </w:r>
      <w:r w:rsidRPr="00A25545">
        <w:rPr>
          <w:rFonts w:cs="Arial"/>
          <w:lang w:val="en-GB" w:bidi="ar-SA"/>
        </w:rPr>
        <w:t>µ</w:t>
      </w:r>
      <w:r w:rsidRPr="00A25545">
        <w:rPr>
          <w:lang w:val="en-GB" w:bidi="ar-SA"/>
        </w:rPr>
        <w:t>g/plate.</w:t>
      </w:r>
    </w:p>
    <w:p w14:paraId="1B739EAF" w14:textId="77777777" w:rsidR="00303EC3" w:rsidRPr="00A25545" w:rsidRDefault="00303EC3" w:rsidP="00303EC3">
      <w:pPr>
        <w:rPr>
          <w:lang w:val="en-GB" w:bidi="ar-SA"/>
        </w:rPr>
      </w:pPr>
    </w:p>
    <w:p w14:paraId="3D9B5BF8" w14:textId="6E76C2AA" w:rsidR="00303EC3" w:rsidRPr="00A25545" w:rsidRDefault="00303EC3" w:rsidP="00303EC3">
      <w:pPr>
        <w:rPr>
          <w:lang w:val="en-GB" w:bidi="ar-SA"/>
        </w:rPr>
      </w:pPr>
      <w:r w:rsidRPr="00A25545">
        <w:rPr>
          <w:lang w:val="en-GB" w:bidi="ar-SA"/>
        </w:rPr>
        <w:t>DRM was not mutagenic towards any of the test strains used, with or without the S9 metabolic activation system.</w:t>
      </w:r>
    </w:p>
    <w:p w14:paraId="5B879412" w14:textId="0CE43541" w:rsidR="00303EC3" w:rsidRPr="00A25545" w:rsidRDefault="00303EC3" w:rsidP="00A25545">
      <w:pPr>
        <w:pStyle w:val="Heading4"/>
        <w:rPr>
          <w:i w:val="0"/>
          <w:lang w:val="en-GB"/>
        </w:rPr>
      </w:pPr>
      <w:r w:rsidRPr="00A25545">
        <w:rPr>
          <w:lang w:val="en-GB"/>
        </w:rPr>
        <w:t>Chinese hamster ovary AS52/XPRT gene mutation assay (Hammond et al. 2002)</w:t>
      </w:r>
    </w:p>
    <w:p w14:paraId="7B484AFB" w14:textId="137240BC" w:rsidR="00303EC3" w:rsidRPr="00A25545" w:rsidRDefault="00303EC3" w:rsidP="00303EC3">
      <w:pPr>
        <w:rPr>
          <w:lang w:val="en-GB" w:eastAsia="en-AU" w:bidi="ar-SA"/>
        </w:rPr>
      </w:pPr>
      <w:r w:rsidRPr="00A25545">
        <w:rPr>
          <w:lang w:val="en-GB" w:eastAsia="en-AU" w:bidi="ar-SA"/>
        </w:rPr>
        <w:t>The test article for this assay was homogeni</w:t>
      </w:r>
      <w:r w:rsidR="00C94E0D" w:rsidRPr="00A25545">
        <w:rPr>
          <w:lang w:val="en-GB" w:eastAsia="en-AU" w:bidi="ar-SA"/>
        </w:rPr>
        <w:t>s</w:t>
      </w:r>
      <w:r w:rsidRPr="00A25545">
        <w:rPr>
          <w:lang w:val="en-GB" w:eastAsia="en-AU" w:bidi="ar-SA"/>
        </w:rPr>
        <w:t>ed, lysed DRM, as for the bacterial reverse mutation assay described above. Positive controls for this assay were benzo[</w:t>
      </w:r>
      <w:r w:rsidRPr="00A25545">
        <w:rPr>
          <w:i/>
          <w:lang w:val="en-GB" w:eastAsia="en-AU" w:bidi="ar-SA"/>
        </w:rPr>
        <w:t>a</w:t>
      </w:r>
      <w:r w:rsidRPr="00A25545">
        <w:rPr>
          <w:lang w:val="en-GB" w:eastAsia="en-AU" w:bidi="ar-SA"/>
        </w:rPr>
        <w:t>]pyr</w:t>
      </w:r>
      <w:r w:rsidR="007050BF" w:rsidRPr="00A25545">
        <w:rPr>
          <w:lang w:val="en-GB" w:eastAsia="en-AU" w:bidi="ar-SA"/>
        </w:rPr>
        <w:t>e</w:t>
      </w:r>
      <w:r w:rsidRPr="00A25545">
        <w:rPr>
          <w:lang w:val="en-GB" w:eastAsia="en-AU" w:bidi="ar-SA"/>
        </w:rPr>
        <w:t xml:space="preserve">ne with S9 fraction and actinomycin D without S9 fraction. Following </w:t>
      </w:r>
      <w:r w:rsidR="007050BF" w:rsidRPr="00A25545">
        <w:rPr>
          <w:lang w:val="en-GB" w:eastAsia="en-AU" w:bidi="ar-SA"/>
        </w:rPr>
        <w:t xml:space="preserve">a </w:t>
      </w:r>
      <w:r w:rsidRPr="00A25545">
        <w:rPr>
          <w:lang w:val="en-GB" w:eastAsia="en-AU" w:bidi="ar-SA"/>
        </w:rPr>
        <w:t xml:space="preserve">preliminary cytotoxicity </w:t>
      </w:r>
      <w:r w:rsidR="007050BF" w:rsidRPr="00A25545">
        <w:rPr>
          <w:lang w:val="en-GB" w:eastAsia="en-AU" w:bidi="ar-SA"/>
        </w:rPr>
        <w:t>test</w:t>
      </w:r>
      <w:r w:rsidRPr="00A25545">
        <w:rPr>
          <w:lang w:val="en-GB" w:eastAsia="en-AU" w:bidi="ar-SA"/>
        </w:rPr>
        <w:t>, DRM was used to treat AS52 Chinese hamster ovary cells for 5 hours</w:t>
      </w:r>
      <w:r w:rsidRPr="00A25545">
        <w:rPr>
          <w:lang w:val="en-GB" w:bidi="ar-SA"/>
        </w:rPr>
        <w:t>. Five dose levels, with and without S9 fraction, were assayed in triplicate.</w:t>
      </w:r>
    </w:p>
    <w:p w14:paraId="1F717439" w14:textId="77777777" w:rsidR="00303EC3" w:rsidRPr="00A25545" w:rsidRDefault="00303EC3" w:rsidP="00303EC3">
      <w:pPr>
        <w:rPr>
          <w:lang w:val="en-GB" w:eastAsia="en-AU" w:bidi="ar-SA"/>
        </w:rPr>
      </w:pPr>
    </w:p>
    <w:p w14:paraId="2A13E1A1" w14:textId="51513EAB" w:rsidR="007D1D6B" w:rsidRPr="00A25545" w:rsidRDefault="00303EC3" w:rsidP="00303EC3">
      <w:pPr>
        <w:rPr>
          <w:lang w:val="en-GB" w:eastAsia="en-AU" w:bidi="ar-SA"/>
        </w:rPr>
      </w:pPr>
      <w:r w:rsidRPr="00A25545">
        <w:rPr>
          <w:lang w:val="en-GB" w:eastAsia="en-AU" w:bidi="ar-SA"/>
        </w:rPr>
        <w:t xml:space="preserve">In </w:t>
      </w:r>
      <w:r w:rsidR="007050BF" w:rsidRPr="00A25545">
        <w:rPr>
          <w:lang w:val="en-GB" w:eastAsia="en-AU" w:bidi="ar-SA"/>
        </w:rPr>
        <w:t xml:space="preserve">the </w:t>
      </w:r>
      <w:r w:rsidRPr="00A25545">
        <w:rPr>
          <w:lang w:val="en-GB" w:eastAsia="en-AU" w:bidi="ar-SA"/>
        </w:rPr>
        <w:t xml:space="preserve">initial cytotoxicity determination, there was no cytotoxicity in the absence of S9 but some cytotoxicity in the presence of S9. Based on these initial screening studies, DRM was tested at 200, 500, 1000, 2000 and 5000 </w:t>
      </w:r>
      <w:r w:rsidRPr="00A25545">
        <w:rPr>
          <w:rFonts w:cs="Arial"/>
          <w:lang w:val="en-GB" w:eastAsia="en-AU" w:bidi="ar-SA"/>
        </w:rPr>
        <w:t>µ</w:t>
      </w:r>
      <w:r w:rsidRPr="00A25545">
        <w:rPr>
          <w:lang w:val="en-GB" w:eastAsia="en-AU" w:bidi="ar-SA"/>
        </w:rPr>
        <w:t>g/mL without S9</w:t>
      </w:r>
      <w:r w:rsidR="007050BF" w:rsidRPr="00A25545">
        <w:rPr>
          <w:lang w:val="en-GB" w:eastAsia="en-AU" w:bidi="ar-SA"/>
        </w:rPr>
        <w:t>,</w:t>
      </w:r>
      <w:r w:rsidRPr="00A25545">
        <w:rPr>
          <w:lang w:val="en-GB" w:eastAsia="en-AU" w:bidi="ar-SA"/>
        </w:rPr>
        <w:t xml:space="preserve"> and at 200, 700, 850, 900 and 1000 </w:t>
      </w:r>
      <w:r w:rsidRPr="00A25545">
        <w:rPr>
          <w:rFonts w:cs="Arial"/>
          <w:lang w:val="en-GB" w:eastAsia="en-AU" w:bidi="ar-SA"/>
        </w:rPr>
        <w:t>µ</w:t>
      </w:r>
      <w:r w:rsidRPr="00A25545">
        <w:rPr>
          <w:lang w:val="en-GB" w:eastAsia="en-AU" w:bidi="ar-SA"/>
        </w:rPr>
        <w:t>g/mL with S9. The positive controls yielded the expected positive responses, but there were no statistically significant increases in mean mutant frequency in response to DRM treatment, with or without S9 fraction. However in the presence of S9, significant cytotoxicity was observed at DRM levels of 900 µg/mL and above. It was concluded that DRM did not cause point mutations (base pair or frameshift) in this assay.</w:t>
      </w:r>
    </w:p>
    <w:p w14:paraId="56186252" w14:textId="7E54E54B" w:rsidR="00303EC3" w:rsidRPr="00A25545" w:rsidRDefault="00303EC3" w:rsidP="00A25545">
      <w:pPr>
        <w:pStyle w:val="Heading4"/>
        <w:ind w:left="0" w:firstLine="0"/>
        <w:rPr>
          <w:i w:val="0"/>
          <w:lang w:val="en-GB"/>
        </w:rPr>
      </w:pPr>
      <w:r w:rsidRPr="00A25545">
        <w:rPr>
          <w:lang w:val="en-GB"/>
        </w:rPr>
        <w:t>Chromosomal aberration assay in human peripheral lymphocytes (Hammond et al. 2002)</w:t>
      </w:r>
    </w:p>
    <w:p w14:paraId="795D213A" w14:textId="34F6F10E" w:rsidR="00BE3399" w:rsidRDefault="00303EC3" w:rsidP="00A92233">
      <w:pPr>
        <w:rPr>
          <w:lang w:val="en-GB" w:eastAsia="en-AU" w:bidi="ar-SA"/>
        </w:rPr>
      </w:pPr>
      <w:r w:rsidRPr="00A25545">
        <w:rPr>
          <w:lang w:val="en-GB" w:eastAsia="en-AU" w:bidi="ar-SA"/>
        </w:rPr>
        <w:t>For this assay, dried, unlysed DRM was suspended in water. The test system was human peripheral blood lymphocytes (HPBL). Positive controls were Mitomycin C for use in the test system without S9, and cyclophosphamide in the test system with S9. Water was used as the negative control. In initial dose-range</w:t>
      </w:r>
      <w:r w:rsidR="00D303F0" w:rsidRPr="00A25545">
        <w:rPr>
          <w:lang w:val="en-GB" w:eastAsia="en-AU" w:bidi="ar-SA"/>
        </w:rPr>
        <w:t xml:space="preserve"> </w:t>
      </w:r>
      <w:r w:rsidRPr="00A25545">
        <w:rPr>
          <w:lang w:val="en-GB" w:eastAsia="en-AU" w:bidi="ar-SA"/>
        </w:rPr>
        <w:t>finding, precipitation of DRM was a problem, so the highest dose level demonstrating sufficient unobstructed metaphase cells was selected as the top dose level for the definitive assay. Selected dose levels were 125, 250, 500 and 750 µg/mL. HPBL were inoculated into replicate tubes containing medium, and incubated at 37±1º C for 44-48 h prior to addition of DRM. In the assay without S9, cells were incubated with DRM for 4, 20 or 44 h</w:t>
      </w:r>
      <w:r w:rsidR="004F2257" w:rsidRPr="00A25545">
        <w:rPr>
          <w:lang w:val="en-GB" w:eastAsia="en-AU" w:bidi="ar-SA"/>
        </w:rPr>
        <w:t>,</w:t>
      </w:r>
      <w:r w:rsidRPr="00A25545">
        <w:rPr>
          <w:lang w:val="en-GB" w:eastAsia="en-AU" w:bidi="ar-SA"/>
        </w:rPr>
        <w:t xml:space="preserve"> whereas for the assay with S9, cells were incubated with DRM for 4 h. </w:t>
      </w:r>
      <w:r w:rsidR="00BE3399">
        <w:rPr>
          <w:lang w:val="en-GB" w:eastAsia="en-AU" w:bidi="ar-SA"/>
        </w:rPr>
        <w:br w:type="page"/>
      </w:r>
    </w:p>
    <w:p w14:paraId="19361DF8" w14:textId="04D09C98" w:rsidR="003B0E1D" w:rsidRPr="00A25545" w:rsidRDefault="00303EC3" w:rsidP="00A92233">
      <w:pPr>
        <w:rPr>
          <w:i/>
          <w:lang w:val="en-GB"/>
        </w:rPr>
      </w:pPr>
      <w:r w:rsidRPr="00A25545">
        <w:rPr>
          <w:lang w:val="en-GB" w:eastAsia="en-AU" w:bidi="ar-SA"/>
        </w:rPr>
        <w:lastRenderedPageBreak/>
        <w:t>Cells incubated for 4 h (pulse treatment groups) were washed after 4 h, and incubated in fresh medium for a further 16 or 40 h. For all groups, colcemid was added 2 h prior to scheduled collection of metaphase cells for evaluation. Metaphase cells were harvested, processed to slides and evaluated without knowledge of the treatment group. The percentage of cells with numerical or structural aberrations following DRM treatment was not significantly different from control (P</w:t>
      </w:r>
      <w:r w:rsidRPr="00A25545">
        <w:rPr>
          <w:rFonts w:cs="Arial"/>
          <w:lang w:val="en-GB" w:eastAsia="en-AU" w:bidi="ar-SA"/>
        </w:rPr>
        <w:t>≤</w:t>
      </w:r>
      <w:r w:rsidRPr="00A25545">
        <w:rPr>
          <w:lang w:val="en-GB" w:eastAsia="en-AU" w:bidi="ar-SA"/>
        </w:rPr>
        <w:t xml:space="preserve"> 0.05), with or without S9</w:t>
      </w:r>
      <w:r w:rsidR="00571148">
        <w:rPr>
          <w:i/>
          <w:lang w:val="en-GB"/>
        </w:rPr>
        <w:t>.</w:t>
      </w:r>
    </w:p>
    <w:p w14:paraId="50EF9373" w14:textId="77777777" w:rsidR="00303EC3" w:rsidRPr="00A25545" w:rsidRDefault="00303EC3" w:rsidP="00A25545">
      <w:pPr>
        <w:pStyle w:val="Heading4"/>
        <w:rPr>
          <w:i w:val="0"/>
          <w:lang w:val="en-GB"/>
        </w:rPr>
      </w:pPr>
      <w:r w:rsidRPr="00A25545">
        <w:rPr>
          <w:lang w:val="en-GB"/>
        </w:rPr>
        <w:t>Mouse micronucleus assay (Hammond et al. 2002)</w:t>
      </w:r>
    </w:p>
    <w:p w14:paraId="020DE35D" w14:textId="707F5851" w:rsidR="003B0E1D" w:rsidRPr="00A25545" w:rsidRDefault="00303EC3" w:rsidP="003B0E1D">
      <w:pPr>
        <w:rPr>
          <w:lang w:val="en-GB" w:eastAsia="en-AU" w:bidi="ar-SA"/>
        </w:rPr>
      </w:pPr>
      <w:r w:rsidRPr="00A25545">
        <w:rPr>
          <w:lang w:val="en-GB" w:eastAsia="en-AU" w:bidi="ar-SA"/>
        </w:rPr>
        <w:t>This assay was conducted using 8- to 10-week old male CD-1 mice, maintained under standard laboratory husbandry conditions. The test article was unlysed DRM, as used in the chromosomal aberration study described above. Preliminary dose-range</w:t>
      </w:r>
      <w:r w:rsidR="004F2257" w:rsidRPr="00A25545">
        <w:rPr>
          <w:lang w:val="en-GB" w:eastAsia="en-AU" w:bidi="ar-SA"/>
        </w:rPr>
        <w:t xml:space="preserve"> </w:t>
      </w:r>
      <w:r w:rsidRPr="00A25545">
        <w:rPr>
          <w:lang w:val="en-GB" w:eastAsia="en-AU" w:bidi="ar-SA"/>
        </w:rPr>
        <w:t>finding established that DRM was nontoxic to mice at doses up to and including 2000 mg/kg</w:t>
      </w:r>
      <w:r w:rsidR="004F2257" w:rsidRPr="00A25545">
        <w:rPr>
          <w:lang w:val="en-GB" w:eastAsia="en-AU" w:bidi="ar-SA"/>
        </w:rPr>
        <w:t xml:space="preserve"> bw</w:t>
      </w:r>
      <w:r w:rsidRPr="00A25545">
        <w:rPr>
          <w:lang w:val="en-GB" w:eastAsia="en-AU" w:bidi="ar-SA"/>
        </w:rPr>
        <w:t xml:space="preserve">. Mice were randomly assigned to groups of at least 10 mice/group, and gavaged with a single dose of 0, 500, 1000 or 2000 mg/kg </w:t>
      </w:r>
      <w:r w:rsidR="004F2257" w:rsidRPr="00A25545">
        <w:rPr>
          <w:lang w:val="en-GB" w:eastAsia="en-AU" w:bidi="ar-SA"/>
        </w:rPr>
        <w:t xml:space="preserve">bw </w:t>
      </w:r>
      <w:r w:rsidRPr="00A25545">
        <w:rPr>
          <w:lang w:val="en-GB" w:eastAsia="en-AU" w:bidi="ar-SA"/>
        </w:rPr>
        <w:t xml:space="preserve">DRM in distilled water at a dose volume of 10 mL/kg. </w:t>
      </w:r>
    </w:p>
    <w:p w14:paraId="6DF6FE7D" w14:textId="77777777" w:rsidR="00571148" w:rsidRDefault="00571148" w:rsidP="004462D3">
      <w:pPr>
        <w:keepNext/>
        <w:keepLines/>
        <w:rPr>
          <w:lang w:val="en-GB" w:eastAsia="en-AU" w:bidi="ar-SA"/>
        </w:rPr>
      </w:pPr>
    </w:p>
    <w:p w14:paraId="03D49674" w14:textId="06228BB6" w:rsidR="00303EC3" w:rsidRPr="00A25545" w:rsidRDefault="00303EC3" w:rsidP="004462D3">
      <w:pPr>
        <w:keepNext/>
        <w:keepLines/>
        <w:rPr>
          <w:lang w:val="en-GB" w:eastAsia="en-AU" w:bidi="ar-SA"/>
        </w:rPr>
      </w:pPr>
      <w:r w:rsidRPr="00A25545">
        <w:rPr>
          <w:lang w:val="en-GB" w:eastAsia="en-AU" w:bidi="ar-SA"/>
        </w:rPr>
        <w:t xml:space="preserve">Mice in a positive </w:t>
      </w:r>
      <w:r w:rsidR="004F2257" w:rsidRPr="00A25545">
        <w:rPr>
          <w:lang w:val="en-GB" w:eastAsia="en-AU" w:bidi="ar-SA"/>
        </w:rPr>
        <w:t xml:space="preserve">control </w:t>
      </w:r>
      <w:r w:rsidRPr="00A25545">
        <w:rPr>
          <w:lang w:val="en-GB" w:eastAsia="en-AU" w:bidi="ar-SA"/>
        </w:rPr>
        <w:t xml:space="preserve">group were dosed with a single gavage dose of cyclophosphamide, </w:t>
      </w:r>
      <w:r w:rsidR="004F2257" w:rsidRPr="00A25545">
        <w:rPr>
          <w:lang w:val="en-GB" w:eastAsia="en-AU" w:bidi="ar-SA"/>
        </w:rPr>
        <w:t xml:space="preserve">at </w:t>
      </w:r>
      <w:r w:rsidRPr="00A25545">
        <w:rPr>
          <w:lang w:val="en-GB" w:eastAsia="en-AU" w:bidi="ar-SA"/>
        </w:rPr>
        <w:t>40 mg/kg</w:t>
      </w:r>
      <w:r w:rsidR="004F2257" w:rsidRPr="00A25545">
        <w:rPr>
          <w:lang w:val="en-GB" w:eastAsia="en-AU" w:bidi="ar-SA"/>
        </w:rPr>
        <w:t xml:space="preserve"> bw</w:t>
      </w:r>
      <w:r w:rsidRPr="00A25545">
        <w:rPr>
          <w:lang w:val="en-GB" w:eastAsia="en-AU" w:bidi="ar-SA"/>
        </w:rPr>
        <w:t>. Mice were observed for moribundity and mortality until scheduled termination at 24 or 48 hours after treatment. Bodyweights were measured prior to dosing and at scheduled termination. Following termination with CO</w:t>
      </w:r>
      <w:r w:rsidRPr="00A25545">
        <w:rPr>
          <w:vertAlign w:val="subscript"/>
          <w:lang w:val="en-GB" w:eastAsia="en-AU" w:bidi="ar-SA"/>
        </w:rPr>
        <w:t>2</w:t>
      </w:r>
      <w:r w:rsidRPr="00A25545">
        <w:rPr>
          <w:lang w:val="en-GB" w:eastAsia="en-AU" w:bidi="ar-SA"/>
        </w:rPr>
        <w:t>, two slides of femoral bone marrow were prepared from each mouse, and examined without knowledge of the treatment group. The ratio of polychromatic erythrocytes (PCE) to total erythrocytes and the number of micronucleated polychromatic erythrocytes per 1000 polychromatic erythrocytes were calculated.</w:t>
      </w:r>
    </w:p>
    <w:p w14:paraId="0D9CA48E" w14:textId="77777777" w:rsidR="00303EC3" w:rsidRPr="00A25545" w:rsidRDefault="00303EC3" w:rsidP="00303EC3">
      <w:pPr>
        <w:rPr>
          <w:lang w:val="en-GB" w:eastAsia="en-AU" w:bidi="ar-SA"/>
        </w:rPr>
      </w:pPr>
    </w:p>
    <w:p w14:paraId="4D6188D8" w14:textId="579DCE60" w:rsidR="00303EC3" w:rsidRPr="00A25545" w:rsidRDefault="00303EC3" w:rsidP="00303EC3">
      <w:pPr>
        <w:rPr>
          <w:lang w:val="en-GB" w:eastAsia="en-AU" w:bidi="ar-SA"/>
        </w:rPr>
      </w:pPr>
      <w:r w:rsidRPr="00A25545">
        <w:rPr>
          <w:lang w:val="en-GB" w:eastAsia="en-AU" w:bidi="ar-SA"/>
        </w:rPr>
        <w:t xml:space="preserve">There were no clinical signs of toxicity observed, no significant effects on bodyweight, no unscheduled deaths, no statistically significant decreases in mean ratio of PCE to total erythrocytes and no statistically significant increases in mean micronucleated PCE frequency in any </w:t>
      </w:r>
      <w:r w:rsidR="00423279" w:rsidRPr="00A25545">
        <w:rPr>
          <w:lang w:val="en-GB" w:eastAsia="en-AU" w:bidi="ar-SA"/>
        </w:rPr>
        <w:t xml:space="preserve">of the DRM-treated </w:t>
      </w:r>
      <w:r w:rsidRPr="00A25545">
        <w:rPr>
          <w:lang w:val="en-GB" w:eastAsia="en-AU" w:bidi="ar-SA"/>
        </w:rPr>
        <w:t>group</w:t>
      </w:r>
      <w:r w:rsidR="00423279" w:rsidRPr="00A25545">
        <w:rPr>
          <w:lang w:val="en-GB" w:eastAsia="en-AU" w:bidi="ar-SA"/>
        </w:rPr>
        <w:t>s</w:t>
      </w:r>
      <w:r w:rsidRPr="00A25545">
        <w:rPr>
          <w:lang w:val="en-GB" w:eastAsia="en-AU" w:bidi="ar-SA"/>
        </w:rPr>
        <w:t>, compared to negative controls.</w:t>
      </w:r>
      <w:r w:rsidR="00423279" w:rsidRPr="00A25545">
        <w:rPr>
          <w:lang w:val="en-GB" w:eastAsia="en-AU" w:bidi="ar-SA"/>
        </w:rPr>
        <w:t xml:space="preserve"> The expected significant increase in micronucleated PCE was observed in the positive control group</w:t>
      </w:r>
      <w:r w:rsidR="00AC7D29" w:rsidRPr="00A25545">
        <w:rPr>
          <w:lang w:val="en-GB" w:eastAsia="en-AU" w:bidi="ar-SA"/>
        </w:rPr>
        <w:t>.</w:t>
      </w:r>
      <w:r w:rsidR="00423279" w:rsidRPr="00A25545">
        <w:rPr>
          <w:lang w:val="en-GB" w:eastAsia="en-AU" w:bidi="ar-SA"/>
        </w:rPr>
        <w:t xml:space="preserve"> </w:t>
      </w:r>
      <w:r w:rsidRPr="00A25545">
        <w:rPr>
          <w:lang w:val="en-GB" w:eastAsia="en-AU" w:bidi="ar-SA"/>
        </w:rPr>
        <w:t>It was concluded that there was no evidence of clastogenic effects or malsegregation of chromosomes attributable to DRM.</w:t>
      </w:r>
    </w:p>
    <w:p w14:paraId="6A285B82" w14:textId="001C43FC" w:rsidR="00303EC3" w:rsidRPr="00A25545" w:rsidRDefault="0015004E" w:rsidP="00FE490D">
      <w:pPr>
        <w:pStyle w:val="Heading3"/>
        <w:rPr>
          <w:lang w:val="en-GB"/>
        </w:rPr>
      </w:pPr>
      <w:bookmarkStart w:id="42" w:name="_Toc464129779"/>
      <w:r w:rsidRPr="00A25545">
        <w:rPr>
          <w:lang w:val="en-GB"/>
        </w:rPr>
        <w:t>3.</w:t>
      </w:r>
      <w:r w:rsidR="00571148">
        <w:rPr>
          <w:lang w:val="en-GB"/>
        </w:rPr>
        <w:t>3</w:t>
      </w:r>
      <w:r w:rsidRPr="00A25545">
        <w:rPr>
          <w:lang w:val="en-GB"/>
        </w:rPr>
        <w:t>.2</w:t>
      </w:r>
      <w:r w:rsidRPr="00A25545">
        <w:rPr>
          <w:lang w:val="en-GB"/>
        </w:rPr>
        <w:tab/>
      </w:r>
      <w:r w:rsidR="00FD7080" w:rsidRPr="00A25545">
        <w:rPr>
          <w:lang w:val="en-GB"/>
        </w:rPr>
        <w:t>DHA-B</w:t>
      </w:r>
      <w:r w:rsidR="00303EC3" w:rsidRPr="00A25545">
        <w:rPr>
          <w:lang w:val="en-GB"/>
        </w:rPr>
        <w:t>, aqueous extraction</w:t>
      </w:r>
      <w:bookmarkEnd w:id="42"/>
    </w:p>
    <w:p w14:paraId="5163B722" w14:textId="77777777" w:rsidR="00303EC3" w:rsidRPr="00A25545" w:rsidRDefault="00303EC3" w:rsidP="00A25545">
      <w:pPr>
        <w:pStyle w:val="Heading4"/>
        <w:rPr>
          <w:lang w:val="en-GB"/>
        </w:rPr>
      </w:pPr>
      <w:r w:rsidRPr="00A25545">
        <w:rPr>
          <w:lang w:val="en-GB"/>
        </w:rPr>
        <w:t>Bacterial reverse mutation assay (BSL, 2011a)</w:t>
      </w:r>
    </w:p>
    <w:p w14:paraId="79757594" w14:textId="2AD3E2CE" w:rsidR="00303EC3" w:rsidRPr="00A25545" w:rsidRDefault="00303EC3" w:rsidP="00303EC3">
      <w:pPr>
        <w:rPr>
          <w:lang w:val="en-GB" w:eastAsia="en-AU" w:bidi="ar-SA"/>
        </w:rPr>
      </w:pPr>
      <w:r w:rsidRPr="00A25545">
        <w:rPr>
          <w:lang w:val="en-GB" w:eastAsia="en-AU" w:bidi="ar-SA"/>
        </w:rPr>
        <w:t>This study was conducted in compliance with OECD Test Guideline No. 471, Commission Regulation (EC) No. 440/2008, and the EPA Test Guideline OPPTS 870.5100.</w:t>
      </w:r>
    </w:p>
    <w:p w14:paraId="2A2CB3FD" w14:textId="77777777" w:rsidR="00303EC3" w:rsidRPr="00A25545" w:rsidRDefault="00303EC3" w:rsidP="00303EC3">
      <w:pPr>
        <w:rPr>
          <w:lang w:val="en-GB" w:eastAsia="en-AU" w:bidi="ar-SA"/>
        </w:rPr>
      </w:pPr>
    </w:p>
    <w:p w14:paraId="1001C91B" w14:textId="1FFEC546" w:rsidR="00303EC3" w:rsidRPr="00A25545" w:rsidRDefault="00303EC3" w:rsidP="00303EC3">
      <w:pPr>
        <w:rPr>
          <w:color w:val="4F81BD" w:themeColor="accent1"/>
          <w:lang w:val="en-GB" w:eastAsia="en-AU" w:bidi="ar-SA"/>
        </w:rPr>
      </w:pPr>
      <w:r w:rsidRPr="00A25545">
        <w:rPr>
          <w:lang w:val="en-GB" w:eastAsia="en-AU" w:bidi="ar-SA"/>
        </w:rPr>
        <w:t xml:space="preserve">Two separate experiments were conducted; a plate incorporation study and a liquid pre-incubation study. In each experiment, mutagenicity testing was conducted in triplicate using </w:t>
      </w:r>
      <w:r w:rsidRPr="00A25545">
        <w:rPr>
          <w:i/>
          <w:lang w:val="en-GB" w:eastAsia="en-AU" w:bidi="ar-SA"/>
        </w:rPr>
        <w:t>Salmonella typhimurium</w:t>
      </w:r>
      <w:r w:rsidRPr="00A25545">
        <w:rPr>
          <w:lang w:val="en-GB" w:eastAsia="en-AU" w:bidi="ar-SA"/>
        </w:rPr>
        <w:t xml:space="preserve"> test strains TA98, TA100, TA1535 and TA1537, and </w:t>
      </w:r>
      <w:r w:rsidRPr="00A25545">
        <w:rPr>
          <w:i/>
          <w:lang w:val="en-GB" w:eastAsia="en-AU" w:bidi="ar-SA"/>
        </w:rPr>
        <w:t>Escherichia coli</w:t>
      </w:r>
      <w:r w:rsidRPr="00A25545">
        <w:rPr>
          <w:lang w:val="en-GB" w:eastAsia="en-AU" w:bidi="ar-SA"/>
        </w:rPr>
        <w:t xml:space="preserve"> test strain WP2 uvrA., with and without S9 fraction. Concurrent assays with positive and negative controls were also conducted. </w:t>
      </w:r>
      <w:r w:rsidR="00FD7080" w:rsidRPr="00A25545">
        <w:rPr>
          <w:lang w:val="en-GB" w:eastAsia="en-AU" w:bidi="ar-SA"/>
        </w:rPr>
        <w:t>DHA-B</w:t>
      </w:r>
      <w:r w:rsidRPr="00A25545">
        <w:rPr>
          <w:lang w:val="en-GB" w:eastAsia="en-AU" w:bidi="ar-SA"/>
        </w:rPr>
        <w:t xml:space="preserve"> was suspended in DMSO and diluted prior to use. In pre-experiment dose-range</w:t>
      </w:r>
      <w:r w:rsidR="004F2257" w:rsidRPr="00A25545">
        <w:rPr>
          <w:lang w:val="en-GB" w:eastAsia="en-AU" w:bidi="ar-SA"/>
        </w:rPr>
        <w:t xml:space="preserve"> </w:t>
      </w:r>
      <w:r w:rsidRPr="00A25545">
        <w:rPr>
          <w:lang w:val="en-GB" w:eastAsia="en-AU" w:bidi="ar-SA"/>
        </w:rPr>
        <w:t xml:space="preserve">finding </w:t>
      </w:r>
      <w:r w:rsidR="004F2257" w:rsidRPr="00A25545">
        <w:rPr>
          <w:lang w:val="en-GB" w:eastAsia="en-AU" w:bidi="ar-SA"/>
        </w:rPr>
        <w:t xml:space="preserve">experiments </w:t>
      </w:r>
      <w:r w:rsidRPr="00A25545">
        <w:rPr>
          <w:lang w:val="en-GB" w:eastAsia="en-AU" w:bidi="ar-SA"/>
        </w:rPr>
        <w:t xml:space="preserve">using test strains T98 and T100, no toxic effects of </w:t>
      </w:r>
      <w:r w:rsidR="00FD7080" w:rsidRPr="00A25545">
        <w:rPr>
          <w:lang w:val="en-GB" w:eastAsia="en-AU" w:bidi="ar-SA"/>
        </w:rPr>
        <w:t>DHA-B</w:t>
      </w:r>
      <w:r w:rsidRPr="00A25545">
        <w:rPr>
          <w:lang w:val="en-GB" w:eastAsia="en-AU" w:bidi="ar-SA"/>
        </w:rPr>
        <w:t xml:space="preserve"> were observed at up to 5000 </w:t>
      </w:r>
      <w:r w:rsidRPr="00A25545">
        <w:rPr>
          <w:rFonts w:cs="Arial"/>
          <w:lang w:val="en-GB" w:eastAsia="en-AU" w:bidi="ar-SA"/>
        </w:rPr>
        <w:t>µ</w:t>
      </w:r>
      <w:r w:rsidRPr="00A25545">
        <w:rPr>
          <w:lang w:val="en-GB" w:eastAsia="en-AU" w:bidi="ar-SA"/>
        </w:rPr>
        <w:t xml:space="preserve">g/plate and </w:t>
      </w:r>
      <w:r w:rsidR="004F2257" w:rsidRPr="00A25545">
        <w:rPr>
          <w:lang w:val="en-GB" w:eastAsia="en-AU" w:bidi="ar-SA"/>
        </w:rPr>
        <w:t xml:space="preserve">selected </w:t>
      </w:r>
      <w:r w:rsidRPr="00A25545">
        <w:rPr>
          <w:lang w:val="en-GB" w:eastAsia="en-AU" w:bidi="ar-SA"/>
        </w:rPr>
        <w:t xml:space="preserve">test dose levels were therefore 31.6, 100, 316, 1000, 2500 and 5000 </w:t>
      </w:r>
      <w:r w:rsidRPr="00A25545">
        <w:rPr>
          <w:rFonts w:cs="Arial"/>
          <w:lang w:val="en-GB" w:eastAsia="en-AU" w:bidi="ar-SA"/>
        </w:rPr>
        <w:t>µ</w:t>
      </w:r>
      <w:r w:rsidRPr="00A25545">
        <w:rPr>
          <w:lang w:val="en-GB" w:eastAsia="en-AU" w:bidi="ar-SA"/>
        </w:rPr>
        <w:t>g/plate</w:t>
      </w:r>
      <w:r w:rsidRPr="00A25545" w:rsidDel="00413628">
        <w:rPr>
          <w:lang w:val="en-GB" w:eastAsia="en-AU" w:bidi="ar-SA"/>
        </w:rPr>
        <w:t xml:space="preserve">. </w:t>
      </w:r>
      <w:r w:rsidRPr="00A25545">
        <w:rPr>
          <w:lang w:val="en-GB" w:eastAsia="en-AU" w:bidi="ar-SA"/>
        </w:rPr>
        <w:t>Revertant colonies were counted after incubation for at least 48 hours at 37±1º C.</w:t>
      </w:r>
    </w:p>
    <w:p w14:paraId="2F8CBC45" w14:textId="77777777" w:rsidR="00303EC3" w:rsidRPr="00A25545" w:rsidRDefault="00303EC3" w:rsidP="00303EC3">
      <w:pPr>
        <w:rPr>
          <w:color w:val="4F81BD" w:themeColor="accent1"/>
          <w:lang w:val="en-GB" w:eastAsia="en-AU" w:bidi="ar-SA"/>
        </w:rPr>
      </w:pPr>
    </w:p>
    <w:p w14:paraId="451F6407" w14:textId="24474A9F" w:rsidR="00BE3399" w:rsidRDefault="00FD7080" w:rsidP="00303EC3">
      <w:pPr>
        <w:rPr>
          <w:lang w:val="en-GB" w:eastAsia="en-AU" w:bidi="ar-SA"/>
        </w:rPr>
      </w:pPr>
      <w:r w:rsidRPr="00A25545">
        <w:rPr>
          <w:lang w:val="en-GB" w:eastAsia="en-AU" w:bidi="ar-SA"/>
        </w:rPr>
        <w:t>DHA-B</w:t>
      </w:r>
      <w:r w:rsidR="00303EC3" w:rsidRPr="00A25545">
        <w:rPr>
          <w:color w:val="4F81BD" w:themeColor="accent1"/>
          <w:lang w:val="en-GB" w:eastAsia="en-AU" w:bidi="ar-SA"/>
        </w:rPr>
        <w:t xml:space="preserve"> </w:t>
      </w:r>
      <w:r w:rsidR="00303EC3" w:rsidRPr="00A25545">
        <w:rPr>
          <w:lang w:val="en-GB" w:eastAsia="en-AU" w:bidi="ar-SA"/>
        </w:rPr>
        <w:t>was not mutagenic towards any of the test strains used, with or without the S9 metabolic activation system.</w:t>
      </w:r>
      <w:r w:rsidR="00BE3399">
        <w:rPr>
          <w:lang w:val="en-GB" w:eastAsia="en-AU" w:bidi="ar-SA"/>
        </w:rPr>
        <w:br w:type="page"/>
      </w:r>
    </w:p>
    <w:p w14:paraId="108B9355" w14:textId="77777777" w:rsidR="00303EC3" w:rsidRPr="00A25545" w:rsidRDefault="00303EC3" w:rsidP="00A25545">
      <w:pPr>
        <w:pStyle w:val="Heading4"/>
        <w:rPr>
          <w:lang w:val="en-GB"/>
        </w:rPr>
      </w:pPr>
      <w:r w:rsidRPr="00A25545">
        <w:rPr>
          <w:lang w:val="en-GB"/>
        </w:rPr>
        <w:lastRenderedPageBreak/>
        <w:t>Chromosomal aberration assay in human peripheral lymphocytes (BSL, 2011b).</w:t>
      </w:r>
    </w:p>
    <w:p w14:paraId="72B35198" w14:textId="0A2C2020" w:rsidR="00303EC3" w:rsidRPr="00A25545" w:rsidRDefault="00303EC3" w:rsidP="00303EC3">
      <w:pPr>
        <w:rPr>
          <w:lang w:val="en-GB" w:eastAsia="en-AU" w:bidi="ar-SA"/>
        </w:rPr>
      </w:pPr>
      <w:r w:rsidRPr="00A25545">
        <w:rPr>
          <w:lang w:val="en-GB" w:eastAsia="en-AU" w:bidi="ar-SA"/>
        </w:rPr>
        <w:t>The study was conducted in compliance with OECD GLP principles. Two separate experiments were conducted, and each experiment was conducted in duplicate. Positive and negative controls were included in each experiment. Positive controls were ethyl</w:t>
      </w:r>
      <w:r w:rsidR="004F2257" w:rsidRPr="00A25545">
        <w:rPr>
          <w:lang w:val="en-GB" w:eastAsia="en-AU" w:bidi="ar-SA"/>
        </w:rPr>
        <w:t xml:space="preserve"> </w:t>
      </w:r>
      <w:r w:rsidRPr="00A25545">
        <w:rPr>
          <w:lang w:val="en-GB" w:eastAsia="en-AU" w:bidi="ar-SA"/>
        </w:rPr>
        <w:t>methanesulfonate for use in the test system without S9, and cyclophosphamide in the test system with S9</w:t>
      </w:r>
      <w:r w:rsidR="004F2257" w:rsidRPr="00A25545">
        <w:rPr>
          <w:lang w:val="en-GB" w:eastAsia="en-AU" w:bidi="ar-SA"/>
        </w:rPr>
        <w:t>.</w:t>
      </w:r>
      <w:r w:rsidRPr="00A25545">
        <w:rPr>
          <w:lang w:val="en-GB" w:eastAsia="en-AU" w:bidi="ar-SA"/>
        </w:rPr>
        <w:t xml:space="preserve"> </w:t>
      </w:r>
      <w:r w:rsidR="004F2257" w:rsidRPr="00A25545">
        <w:rPr>
          <w:lang w:val="en-GB" w:eastAsia="en-AU" w:bidi="ar-SA"/>
        </w:rPr>
        <w:t>C</w:t>
      </w:r>
      <w:r w:rsidRPr="00A25545">
        <w:rPr>
          <w:lang w:val="en-GB" w:eastAsia="en-AU" w:bidi="ar-SA"/>
        </w:rPr>
        <w:t>ell culture medium was the vehicle in which the test item was suspended. In Experiment I, the treatment interval was 4 h with and without metabolic activation. In Experiment II, the treatment interval was 4 h with metabolic activation and 24 h without activation. For the 4 hour exposures, cells were washed and resuspended in fresh medium after 4 hours. All incubations were at 37º C in humidified atmosphere with 5% CO</w:t>
      </w:r>
      <w:r w:rsidRPr="00A25545">
        <w:rPr>
          <w:vertAlign w:val="subscript"/>
          <w:lang w:val="en-GB" w:eastAsia="en-AU" w:bidi="ar-SA"/>
        </w:rPr>
        <w:t>2</w:t>
      </w:r>
      <w:r w:rsidRPr="00A25545">
        <w:rPr>
          <w:lang w:val="en-GB" w:eastAsia="en-AU" w:bidi="ar-SA"/>
        </w:rPr>
        <w:t xml:space="preserve">. For Experiment I, and for Experiment II without metabolic activation the selected doses of </w:t>
      </w:r>
      <w:r w:rsidR="00FD7080" w:rsidRPr="00A25545">
        <w:rPr>
          <w:lang w:val="en-GB" w:eastAsia="en-AU" w:bidi="ar-SA"/>
        </w:rPr>
        <w:t>DHA-B</w:t>
      </w:r>
      <w:r w:rsidRPr="00A25545">
        <w:rPr>
          <w:lang w:val="en-GB" w:eastAsia="en-AU" w:bidi="ar-SA"/>
        </w:rPr>
        <w:t xml:space="preserve"> were 250, 500, 1000, 2500 and 5000 </w:t>
      </w:r>
      <w:r w:rsidRPr="00A25545">
        <w:rPr>
          <w:rFonts w:cs="Arial"/>
          <w:lang w:val="en-GB" w:eastAsia="en-AU" w:bidi="ar-SA"/>
        </w:rPr>
        <w:t>µ</w:t>
      </w:r>
      <w:r w:rsidRPr="00A25545">
        <w:rPr>
          <w:lang w:val="en-GB" w:eastAsia="en-AU" w:bidi="ar-SA"/>
        </w:rPr>
        <w:t>g/mL. For Experiment II, the initial doses with metabolic activation were 3000, 4000 and 5000 µg/mL</w:t>
      </w:r>
      <w:r w:rsidR="00DF7EAA" w:rsidRPr="00A25545">
        <w:rPr>
          <w:lang w:val="en-GB" w:eastAsia="en-AU" w:bidi="ar-SA"/>
        </w:rPr>
        <w:t>. However,</w:t>
      </w:r>
      <w:r w:rsidRPr="00A25545">
        <w:rPr>
          <w:lang w:val="en-GB" w:eastAsia="en-AU" w:bidi="ar-SA"/>
        </w:rPr>
        <w:t xml:space="preserve"> Experiment II with metabolic activation was repeated with the dose levels revised downward to 400, 500, 750 and 1000 </w:t>
      </w:r>
      <w:r w:rsidRPr="00A25545">
        <w:rPr>
          <w:rFonts w:cs="Arial"/>
          <w:lang w:val="en-GB" w:eastAsia="en-AU" w:bidi="ar-SA"/>
        </w:rPr>
        <w:t>µ</w:t>
      </w:r>
      <w:r w:rsidRPr="00A25545">
        <w:rPr>
          <w:lang w:val="en-GB" w:eastAsia="en-AU" w:bidi="ar-SA"/>
        </w:rPr>
        <w:t>g/mL</w:t>
      </w:r>
      <w:r w:rsidR="00DF7EAA" w:rsidRPr="00A25545">
        <w:rPr>
          <w:lang w:val="en-GB" w:eastAsia="en-AU" w:bidi="ar-SA"/>
        </w:rPr>
        <w:t>,</w:t>
      </w:r>
      <w:r w:rsidRPr="00A25545">
        <w:rPr>
          <w:lang w:val="en-GB" w:eastAsia="en-AU" w:bidi="ar-SA"/>
        </w:rPr>
        <w:t xml:space="preserve"> because precipitation occurred at concentrations </w:t>
      </w:r>
      <w:r w:rsidRPr="00A25545">
        <w:rPr>
          <w:rFonts w:cs="Arial"/>
          <w:lang w:val="en-GB" w:eastAsia="en-AU" w:bidi="ar-SA"/>
        </w:rPr>
        <w:t>≥</w:t>
      </w:r>
      <w:r w:rsidRPr="00A25545">
        <w:rPr>
          <w:lang w:val="en-GB" w:eastAsia="en-AU" w:bidi="ar-SA"/>
        </w:rPr>
        <w:t xml:space="preserve">1000 </w:t>
      </w:r>
      <w:r w:rsidRPr="00A25545">
        <w:rPr>
          <w:rFonts w:cs="Arial"/>
          <w:lang w:val="en-GB" w:eastAsia="en-AU" w:bidi="ar-SA"/>
        </w:rPr>
        <w:t>µ</w:t>
      </w:r>
      <w:r w:rsidRPr="00A25545">
        <w:rPr>
          <w:lang w:val="en-GB" w:eastAsia="en-AU" w:bidi="ar-SA"/>
        </w:rPr>
        <w:t>g/mL.</w:t>
      </w:r>
    </w:p>
    <w:p w14:paraId="644E32D8" w14:textId="77777777" w:rsidR="00303EC3" w:rsidRPr="00A25545" w:rsidRDefault="00303EC3" w:rsidP="00303EC3">
      <w:pPr>
        <w:rPr>
          <w:lang w:val="en-GB" w:eastAsia="en-AU" w:bidi="ar-SA"/>
        </w:rPr>
      </w:pPr>
    </w:p>
    <w:p w14:paraId="270187A0" w14:textId="5F401215" w:rsidR="00303EC3" w:rsidRPr="00A25545" w:rsidRDefault="00303EC3" w:rsidP="00A25545">
      <w:pPr>
        <w:rPr>
          <w:color w:val="4F81BD" w:themeColor="accent1"/>
          <w:lang w:val="en-GB" w:eastAsia="en-AU" w:bidi="ar-SA"/>
        </w:rPr>
      </w:pPr>
      <w:r w:rsidRPr="00A25545">
        <w:rPr>
          <w:lang w:val="en-GB" w:eastAsia="en-AU" w:bidi="ar-SA"/>
        </w:rPr>
        <w:t xml:space="preserve">Colcemid was added to the cultures at least 2 hours before scheduled harvesting of metaphase cells. Metaphase cells were harvested, processed to slides and evaluated without knowledge of the treatment group. No biologically relevant increase in aberration rates was noted in either Experiment I or Experiment II in the absence of metabolic activation. With metabolic activation, there was an increase in aberrant cells at the historical control data range at 500 µg/mL, but not at higher dose levels, in Experiment I. In Experiment II with metabolic activation, there was an increase in aberrant cells above the historical control data range at 4000 and 5000 µg/mL, but no dose-response relationship </w:t>
      </w:r>
      <w:r w:rsidR="00DF7EAA" w:rsidRPr="00A25545">
        <w:rPr>
          <w:lang w:val="en-GB" w:eastAsia="en-AU" w:bidi="ar-SA"/>
        </w:rPr>
        <w:t xml:space="preserve">was </w:t>
      </w:r>
      <w:r w:rsidRPr="00A25545">
        <w:rPr>
          <w:lang w:val="en-GB" w:eastAsia="en-AU" w:bidi="ar-SA"/>
        </w:rPr>
        <w:t xml:space="preserve">evident. When Experiment II was repeated at the lower dose levels, with metabolic activation there was an increase in aberrant cells at 500 µg/mL and above, but no dose-response relationship. It was concluded that </w:t>
      </w:r>
      <w:r w:rsidR="00FD7080" w:rsidRPr="00A25545">
        <w:rPr>
          <w:lang w:val="en-GB" w:eastAsia="en-AU" w:bidi="ar-SA"/>
        </w:rPr>
        <w:t>DHA-B</w:t>
      </w:r>
      <w:r w:rsidRPr="00A25545">
        <w:rPr>
          <w:lang w:val="en-GB" w:eastAsia="en-AU" w:bidi="ar-SA"/>
        </w:rPr>
        <w:t xml:space="preserve"> did not induce structural aberrations in human lymphocytes in the absence of metabolic activation. The increase in aberrant cells in the presence of metabolic activation was considered to be equivocal because the clastogenic effect was moderate and there was no evidence of a dose-response relationship.</w:t>
      </w:r>
    </w:p>
    <w:p w14:paraId="646A0D73" w14:textId="77777777" w:rsidR="00303EC3" w:rsidRPr="00A25545" w:rsidRDefault="00303EC3" w:rsidP="00A25545">
      <w:pPr>
        <w:pStyle w:val="Heading4"/>
        <w:rPr>
          <w:lang w:val="en-GB"/>
        </w:rPr>
      </w:pPr>
      <w:r w:rsidRPr="00A25545">
        <w:rPr>
          <w:lang w:val="en-GB"/>
        </w:rPr>
        <w:t>Mouse micronucleus assay (BSL, 2011c)</w:t>
      </w:r>
    </w:p>
    <w:p w14:paraId="372DEFC3" w14:textId="38A9AD9B" w:rsidR="00303EC3" w:rsidRPr="00A25545" w:rsidRDefault="00303EC3" w:rsidP="00303EC3">
      <w:pPr>
        <w:rPr>
          <w:color w:val="548DD4" w:themeColor="text2" w:themeTint="99"/>
          <w:lang w:val="en-GB" w:eastAsia="en-AU" w:bidi="ar-SA"/>
        </w:rPr>
      </w:pPr>
      <w:r w:rsidRPr="00A25545">
        <w:rPr>
          <w:lang w:val="en-GB"/>
        </w:rPr>
        <w:t xml:space="preserve">Young adult NMRI mice, 5/sex/dose group, maintained under standard laboratory husbandry conditions, were the test system for this study. The test article was diluted in cottonseed oil and administered as single IP dose of 0 or 2000 mg/kg </w:t>
      </w:r>
      <w:r w:rsidR="0017229A" w:rsidRPr="00A25545">
        <w:rPr>
          <w:lang w:val="en-GB"/>
        </w:rPr>
        <w:t xml:space="preserve">bw </w:t>
      </w:r>
      <w:r w:rsidR="00FD7080" w:rsidRPr="00A25545">
        <w:rPr>
          <w:lang w:val="en-GB"/>
        </w:rPr>
        <w:t>DHA-B</w:t>
      </w:r>
      <w:r w:rsidRPr="00A25545">
        <w:rPr>
          <w:lang w:val="en-GB"/>
        </w:rPr>
        <w:t xml:space="preserve"> at 10 mL/kg bodyweight. Cyclophosphamide, 40 mg/kg</w:t>
      </w:r>
      <w:r w:rsidRPr="00A25545">
        <w:rPr>
          <w:color w:val="548DD4" w:themeColor="text2" w:themeTint="99"/>
          <w:lang w:val="en-GB"/>
        </w:rPr>
        <w:t xml:space="preserve"> </w:t>
      </w:r>
      <w:r w:rsidR="0017229A" w:rsidRPr="00A25545">
        <w:rPr>
          <w:lang w:val="en-GB"/>
        </w:rPr>
        <w:t>bw</w:t>
      </w:r>
      <w:r w:rsidR="0017229A" w:rsidRPr="00A25545">
        <w:rPr>
          <w:color w:val="548DD4" w:themeColor="text2" w:themeTint="99"/>
          <w:lang w:val="en-GB"/>
        </w:rPr>
        <w:t xml:space="preserve"> </w:t>
      </w:r>
      <w:r w:rsidRPr="00A25545">
        <w:rPr>
          <w:lang w:val="en-GB"/>
        </w:rPr>
        <w:t>was administered IP to a positive control group. No clinical evidence of toxicity was observed as a result of treatment. Peripheral blood was collected from the tail vein 44 and 68 h after treatment</w:t>
      </w:r>
      <w:r w:rsidR="00413628" w:rsidRPr="00A25545">
        <w:rPr>
          <w:lang w:val="en-GB"/>
        </w:rPr>
        <w:t xml:space="preserve">. </w:t>
      </w:r>
      <w:r w:rsidRPr="00A25545">
        <w:rPr>
          <w:lang w:val="en-GB"/>
        </w:rPr>
        <w:t xml:space="preserve">Blood cells were fixed and evaluated by flow cytometry. At least 10,000 immature erythrocytes/mouse were scored for the incidence of micronuclei, and the ratio between immature and mature erythrocytes was calculated. </w:t>
      </w:r>
      <w:r w:rsidR="00FD7080" w:rsidRPr="00A25545">
        <w:rPr>
          <w:lang w:val="en-GB"/>
        </w:rPr>
        <w:t>DHA-B</w:t>
      </w:r>
      <w:r w:rsidR="00D85B16" w:rsidRPr="00A25545">
        <w:rPr>
          <w:lang w:val="en-GB"/>
        </w:rPr>
        <w:t xml:space="preserve"> </w:t>
      </w:r>
      <w:r w:rsidRPr="00A25545">
        <w:rPr>
          <w:lang w:val="en-GB"/>
        </w:rPr>
        <w:t xml:space="preserve">did not induce structural or numerical chromosomal damage in the immature erythrocytes of the mice, and was therefore </w:t>
      </w:r>
      <w:r w:rsidR="00DF7EAA" w:rsidRPr="00A25545">
        <w:rPr>
          <w:lang w:val="en-GB"/>
        </w:rPr>
        <w:t xml:space="preserve">was not </w:t>
      </w:r>
      <w:r w:rsidRPr="00A25545">
        <w:rPr>
          <w:lang w:val="en-GB"/>
        </w:rPr>
        <w:t xml:space="preserve">considered </w:t>
      </w:r>
      <w:r w:rsidR="00DF7EAA" w:rsidRPr="00A25545">
        <w:rPr>
          <w:lang w:val="en-GB"/>
        </w:rPr>
        <w:t xml:space="preserve">genotoxic under the conditions of the assay. </w:t>
      </w:r>
    </w:p>
    <w:p w14:paraId="7853E826" w14:textId="6087BA47" w:rsidR="00303EC3" w:rsidRPr="00A25545" w:rsidRDefault="0015004E" w:rsidP="00FE490D">
      <w:pPr>
        <w:pStyle w:val="Heading3"/>
        <w:rPr>
          <w:lang w:val="en-GB"/>
        </w:rPr>
      </w:pPr>
      <w:bookmarkStart w:id="43" w:name="_Toc464129780"/>
      <w:r w:rsidRPr="00A25545">
        <w:rPr>
          <w:lang w:val="en-GB"/>
        </w:rPr>
        <w:t>3.</w:t>
      </w:r>
      <w:r w:rsidR="00571148">
        <w:rPr>
          <w:lang w:val="en-GB"/>
        </w:rPr>
        <w:t>3</w:t>
      </w:r>
      <w:r w:rsidRPr="00A25545">
        <w:rPr>
          <w:lang w:val="en-GB"/>
        </w:rPr>
        <w:t>.3</w:t>
      </w:r>
      <w:r w:rsidRPr="00A25545">
        <w:rPr>
          <w:lang w:val="en-GB"/>
        </w:rPr>
        <w:tab/>
      </w:r>
      <w:r w:rsidR="00FD7080" w:rsidRPr="00A25545">
        <w:rPr>
          <w:lang w:val="en-GB"/>
        </w:rPr>
        <w:t>DHA-B</w:t>
      </w:r>
      <w:r w:rsidR="00303EC3" w:rsidRPr="00A25545">
        <w:rPr>
          <w:lang w:val="en-GB"/>
        </w:rPr>
        <w:t>, IPA extraction</w:t>
      </w:r>
      <w:bookmarkEnd w:id="43"/>
    </w:p>
    <w:p w14:paraId="45FDF19D" w14:textId="68016507" w:rsidR="00BE3399" w:rsidRDefault="00303EC3" w:rsidP="00303EC3">
      <w:pPr>
        <w:rPr>
          <w:lang w:val="en-GB" w:eastAsia="en-AU" w:bidi="ar-SA"/>
        </w:rPr>
      </w:pPr>
      <w:r w:rsidRPr="00A25545">
        <w:rPr>
          <w:lang w:val="en-GB" w:eastAsia="en-AU" w:bidi="ar-SA"/>
        </w:rPr>
        <w:t xml:space="preserve">Additional studies have been conducted </w:t>
      </w:r>
      <w:r w:rsidR="008A1C62" w:rsidRPr="00A25545">
        <w:rPr>
          <w:lang w:val="en-GB" w:eastAsia="en-AU" w:bidi="ar-SA"/>
        </w:rPr>
        <w:t xml:space="preserve">with </w:t>
      </w:r>
      <w:r w:rsidR="00FD7080" w:rsidRPr="00A25545">
        <w:rPr>
          <w:lang w:val="en-GB" w:eastAsia="en-AU" w:bidi="ar-SA"/>
        </w:rPr>
        <w:t>DHA-B</w:t>
      </w:r>
      <w:r w:rsidRPr="00A25545">
        <w:rPr>
          <w:lang w:val="en-GB" w:eastAsia="en-AU" w:bidi="ar-SA"/>
        </w:rPr>
        <w:t xml:space="preserve"> extracted using isopropyl alcohol (IPA) rather than with the extraction method of the product for which the application was made, which uses water rather than IPA. </w:t>
      </w:r>
      <w:r w:rsidR="00FD7080" w:rsidRPr="00A25545">
        <w:rPr>
          <w:lang w:val="en-GB" w:eastAsia="en-AU" w:bidi="ar-SA"/>
        </w:rPr>
        <w:t>DHA-B</w:t>
      </w:r>
      <w:r w:rsidRPr="00A25545">
        <w:rPr>
          <w:lang w:val="en-GB" w:eastAsia="en-AU" w:bidi="ar-SA"/>
        </w:rPr>
        <w:t xml:space="preserve"> extracted with IPA is compositionally similar to </w:t>
      </w:r>
      <w:r w:rsidR="00FD7080" w:rsidRPr="00A25545">
        <w:rPr>
          <w:lang w:val="en-GB" w:eastAsia="en-AU" w:bidi="ar-SA"/>
        </w:rPr>
        <w:t>DHA-B</w:t>
      </w:r>
      <w:r w:rsidR="00D85B16" w:rsidRPr="00A25545">
        <w:rPr>
          <w:lang w:val="en-GB" w:eastAsia="en-AU" w:bidi="ar-SA"/>
        </w:rPr>
        <w:t xml:space="preserve"> </w:t>
      </w:r>
      <w:r w:rsidRPr="00A25545">
        <w:rPr>
          <w:lang w:val="en-GB" w:eastAsia="en-AU" w:bidi="ar-SA"/>
        </w:rPr>
        <w:t>extracted with water. Therefore, although these studies are not directly relevant to the product for which the application is made, they provide additional information relevant to the hazard assessment. Therefore they are briefly reviewed</w:t>
      </w:r>
      <w:r w:rsidR="00FA544E" w:rsidRPr="00A25545">
        <w:rPr>
          <w:lang w:val="en-GB" w:eastAsia="en-AU" w:bidi="ar-SA"/>
        </w:rPr>
        <w:t xml:space="preserve"> in this section</w:t>
      </w:r>
      <w:r w:rsidRPr="00A25545">
        <w:rPr>
          <w:lang w:val="en-GB" w:eastAsia="en-AU" w:bidi="ar-SA"/>
        </w:rPr>
        <w:t>.</w:t>
      </w:r>
      <w:r w:rsidR="00BE3399">
        <w:rPr>
          <w:lang w:val="en-GB" w:eastAsia="en-AU" w:bidi="ar-SA"/>
        </w:rPr>
        <w:br w:type="page"/>
      </w:r>
    </w:p>
    <w:p w14:paraId="1E83DE90" w14:textId="09D7AE82" w:rsidR="00303EC3" w:rsidRPr="00A25545" w:rsidRDefault="00303EC3" w:rsidP="004B6664">
      <w:pPr>
        <w:keepNext/>
        <w:keepLines/>
        <w:rPr>
          <w:lang w:val="en-GB" w:eastAsia="en-AU" w:bidi="ar-SA"/>
        </w:rPr>
      </w:pPr>
      <w:r w:rsidRPr="00A25545">
        <w:rPr>
          <w:lang w:val="en-GB" w:eastAsia="en-AU" w:bidi="ar-SA"/>
        </w:rPr>
        <w:lastRenderedPageBreak/>
        <w:t xml:space="preserve">The publication by Federova-Dahms et al. 2011 reports, in brief form, the results of the BSL studies also cited for the following three studies. </w:t>
      </w:r>
      <w:r w:rsidR="00FD7080" w:rsidRPr="00A25545">
        <w:rPr>
          <w:lang w:val="en-GB" w:eastAsia="en-AU" w:bidi="ar-SA"/>
        </w:rPr>
        <w:t>DHA-B</w:t>
      </w:r>
      <w:r w:rsidRPr="00A25545">
        <w:rPr>
          <w:lang w:val="en-GB" w:eastAsia="en-AU" w:bidi="ar-SA"/>
        </w:rPr>
        <w:t xml:space="preserve"> prepared using IPA extraction was referred to as DHA-rich </w:t>
      </w:r>
      <w:r w:rsidR="00A11242" w:rsidRPr="00A25545">
        <w:rPr>
          <w:lang w:val="en-GB" w:eastAsia="en-AU" w:bidi="ar-SA"/>
        </w:rPr>
        <w:t>a</w:t>
      </w:r>
      <w:r w:rsidRPr="00A25545">
        <w:rPr>
          <w:lang w:val="en-GB" w:eastAsia="en-AU" w:bidi="ar-SA"/>
        </w:rPr>
        <w:t xml:space="preserve">lgal </w:t>
      </w:r>
      <w:r w:rsidR="00A11242" w:rsidRPr="00A25545">
        <w:rPr>
          <w:lang w:val="en-GB" w:eastAsia="en-AU" w:bidi="ar-SA"/>
        </w:rPr>
        <w:t>o</w:t>
      </w:r>
      <w:r w:rsidRPr="00A25545">
        <w:rPr>
          <w:lang w:val="en-GB" w:eastAsia="en-AU" w:bidi="ar-SA"/>
        </w:rPr>
        <w:t>il in these studies.</w:t>
      </w:r>
    </w:p>
    <w:p w14:paraId="02724F36" w14:textId="1CE483EC" w:rsidR="00303EC3" w:rsidRPr="00A25545" w:rsidRDefault="00303EC3" w:rsidP="00A25545">
      <w:pPr>
        <w:pStyle w:val="Heading4"/>
        <w:rPr>
          <w:lang w:val="en-GB"/>
        </w:rPr>
      </w:pPr>
      <w:r w:rsidRPr="00A25545">
        <w:rPr>
          <w:lang w:val="en-GB"/>
        </w:rPr>
        <w:t>Bacterial reverse mutation assay (Fedorova-Dahms et al. 2011; BSL 2010a)</w:t>
      </w:r>
    </w:p>
    <w:p w14:paraId="471E440D" w14:textId="7899D34F" w:rsidR="00303EC3" w:rsidRDefault="00303EC3" w:rsidP="00303EC3">
      <w:pPr>
        <w:rPr>
          <w:lang w:val="en-GB"/>
        </w:rPr>
      </w:pPr>
      <w:r w:rsidRPr="00A25545">
        <w:rPr>
          <w:lang w:val="en-GB"/>
        </w:rPr>
        <w:t xml:space="preserve">This OECD GLP-compliant assay was conducted according to the plate incorporation method using </w:t>
      </w:r>
      <w:r w:rsidRPr="00A25545">
        <w:rPr>
          <w:i/>
          <w:lang w:val="en-GB"/>
        </w:rPr>
        <w:t>Salmonella typhimurium</w:t>
      </w:r>
      <w:r w:rsidRPr="00A25545">
        <w:rPr>
          <w:lang w:val="en-GB"/>
        </w:rPr>
        <w:t xml:space="preserve"> strains TA 98, TA 100, TA 1535, TA 1537 </w:t>
      </w:r>
      <w:r w:rsidRPr="00A25545">
        <w:rPr>
          <w:i/>
          <w:lang w:val="en-GB"/>
        </w:rPr>
        <w:t>and Escherichia coli</w:t>
      </w:r>
      <w:r w:rsidRPr="00A25545">
        <w:rPr>
          <w:lang w:val="en-GB"/>
        </w:rPr>
        <w:t xml:space="preserve"> strain WP2 uvrA. Two independent experiments were conducted, each with and without S9 for metabolic activation. Each concentration, including negative and positive controls, were tested in triplicate. Concentrations of test item in Experiment I were 31.6, 100, 316, 1000, 2500 and 5000 </w:t>
      </w:r>
      <w:r w:rsidRPr="00A25545">
        <w:rPr>
          <w:rFonts w:cs="Arial"/>
          <w:lang w:val="en-GB"/>
        </w:rPr>
        <w:t>µ</w:t>
      </w:r>
      <w:r w:rsidRPr="00A25545">
        <w:rPr>
          <w:lang w:val="en-GB"/>
        </w:rPr>
        <w:t xml:space="preserve">g/plate. Concentrations of test item in Experiment II were 50, 158, 500, 1580, 4000 and 5000 µg/plate. The positive control for assays with metabolic activation was 2-aminoanthracene. The positive controls for assays without metabolic activation were sodium azide for </w:t>
      </w:r>
      <w:r w:rsidRPr="00A25545">
        <w:rPr>
          <w:i/>
          <w:lang w:val="en-GB"/>
        </w:rPr>
        <w:t>S. typhimurium</w:t>
      </w:r>
      <w:r w:rsidRPr="00A25545">
        <w:rPr>
          <w:lang w:val="en-GB"/>
        </w:rPr>
        <w:t xml:space="preserve"> strains TA 100 and TA 1535, 4-nitro-o-phenylene diamine for </w:t>
      </w:r>
      <w:r w:rsidRPr="00A25545">
        <w:rPr>
          <w:i/>
          <w:lang w:val="en-GB"/>
        </w:rPr>
        <w:t>S. typhimurium</w:t>
      </w:r>
      <w:r w:rsidRPr="00A25545">
        <w:rPr>
          <w:lang w:val="en-GB"/>
        </w:rPr>
        <w:t xml:space="preserve"> strains TA 98 and TA 1537, and methyl methane sulfonate for </w:t>
      </w:r>
      <w:r w:rsidRPr="00A25545">
        <w:rPr>
          <w:i/>
          <w:lang w:val="en-GB"/>
        </w:rPr>
        <w:t>E. coli</w:t>
      </w:r>
      <w:r w:rsidRPr="00A25545">
        <w:rPr>
          <w:lang w:val="en-GB"/>
        </w:rPr>
        <w:t xml:space="preserve"> WP2 uvrA.</w:t>
      </w:r>
    </w:p>
    <w:p w14:paraId="15E90071" w14:textId="77777777" w:rsidR="00571148" w:rsidRPr="00A25545" w:rsidRDefault="00571148" w:rsidP="00303EC3">
      <w:pPr>
        <w:rPr>
          <w:lang w:val="en-GB"/>
        </w:rPr>
      </w:pPr>
    </w:p>
    <w:p w14:paraId="0C436BAE" w14:textId="1C712B09" w:rsidR="00303EC3" w:rsidRPr="00A25545" w:rsidRDefault="00303EC3" w:rsidP="00A25545">
      <w:pPr>
        <w:rPr>
          <w:lang w:val="en-GB"/>
        </w:rPr>
      </w:pPr>
      <w:r w:rsidRPr="00A25545">
        <w:rPr>
          <w:lang w:val="en-GB"/>
        </w:rPr>
        <w:t xml:space="preserve">No precipitation or toxic effects of the test article were noted at any dose level, with or without metabolic activation, and there were no biologically relevant increases in revertant colony numbers with any bacterial strain at any dose level, with or without metabolic activation. The positive control mutagens all induced distinct increases in the number of revertant colonies. It was concluded that DHA-rich </w:t>
      </w:r>
      <w:r w:rsidR="00A11242" w:rsidRPr="00A25545">
        <w:rPr>
          <w:lang w:val="en-GB"/>
        </w:rPr>
        <w:t>a</w:t>
      </w:r>
      <w:r w:rsidRPr="00A25545">
        <w:rPr>
          <w:lang w:val="en-GB"/>
        </w:rPr>
        <w:t xml:space="preserve">lgal </w:t>
      </w:r>
      <w:r w:rsidR="00A11242" w:rsidRPr="00A25545">
        <w:rPr>
          <w:lang w:val="en-GB"/>
        </w:rPr>
        <w:t>o</w:t>
      </w:r>
      <w:r w:rsidRPr="00A25545">
        <w:rPr>
          <w:lang w:val="en-GB"/>
        </w:rPr>
        <w:t>il did not cause gene mutation by base pair changes or frameshifts in this assay.</w:t>
      </w:r>
    </w:p>
    <w:p w14:paraId="11869AC0" w14:textId="005221DD" w:rsidR="00303EC3" w:rsidRPr="00A25545" w:rsidRDefault="00303EC3" w:rsidP="00A25545">
      <w:pPr>
        <w:pStyle w:val="Heading4"/>
        <w:ind w:left="0" w:firstLine="0"/>
        <w:rPr>
          <w:lang w:val="en-GB"/>
        </w:rPr>
      </w:pPr>
      <w:r w:rsidRPr="00A25545">
        <w:rPr>
          <w:lang w:val="en-GB"/>
        </w:rPr>
        <w:t>Chromosomal aberration assay in human peripheral lymphocytes (Fedorova-Dahms et al. 2011; BSL, 2011b)</w:t>
      </w:r>
    </w:p>
    <w:p w14:paraId="4C12854A" w14:textId="6BA42CD9" w:rsidR="0029539A" w:rsidRPr="00A25545" w:rsidRDefault="00303EC3" w:rsidP="0029539A">
      <w:pPr>
        <w:rPr>
          <w:lang w:val="en-GB"/>
        </w:rPr>
      </w:pPr>
      <w:r w:rsidRPr="00A25545">
        <w:rPr>
          <w:lang w:val="en-GB"/>
        </w:rPr>
        <w:t xml:space="preserve">Two experiments were conducted as part of this OECD GLP-compliant assay. Experiment I was conducted with and without metabolic activation with a 4 h treatment interval. Experiment II was conducted for 4 h with metabolic activation and 24 h without metabolic activation. Two parallel cultures were used. Positive controls were ethyl methane sulfonate at 400 and 600 </w:t>
      </w:r>
      <w:r w:rsidRPr="00A25545">
        <w:rPr>
          <w:rFonts w:cs="Arial"/>
          <w:lang w:val="en-GB"/>
        </w:rPr>
        <w:t>µ</w:t>
      </w:r>
      <w:r w:rsidRPr="00A25545">
        <w:rPr>
          <w:lang w:val="en-GB"/>
        </w:rPr>
        <w:t xml:space="preserve">g/mL and cyclophosphamide at 5 µg/mL. Test article concentrations in Experiment I, and in Experiment II without metabolic activation, were 1.0, 2.5 and 5.0 </w:t>
      </w:r>
      <w:r w:rsidRPr="00A25545">
        <w:rPr>
          <w:rFonts w:cs="Arial"/>
          <w:lang w:val="en-GB"/>
        </w:rPr>
        <w:t>µ</w:t>
      </w:r>
      <w:r w:rsidRPr="00A25545">
        <w:rPr>
          <w:lang w:val="en-GB"/>
        </w:rPr>
        <w:t xml:space="preserve">L/mL. In Experiment II with metabolic activation, test article concentrations were 3.0, 4.0 and 5.0 µL/mL. Some precipitation of the suspended test article occurred at concentrations exceeding 1.25 µL/mL. While the positive control articles induced distinct and biologically relevant increases in in cells with structural chromosomal aberrations, there were no biologically relevant decreases in relevant mitotic index, and no biologically relevant increases in aberration rates or frequencies of polyploid cells at any test article dose level in either experiment, with or without metabolic activation. It was concluded that DHA-rich algal </w:t>
      </w:r>
      <w:r w:rsidR="00A11242" w:rsidRPr="00A25545">
        <w:rPr>
          <w:lang w:val="en-GB"/>
        </w:rPr>
        <w:t>o</w:t>
      </w:r>
      <w:r w:rsidRPr="00A25545">
        <w:rPr>
          <w:lang w:val="en-GB"/>
        </w:rPr>
        <w:t>il was non-clastogenic in this assay.</w:t>
      </w:r>
    </w:p>
    <w:p w14:paraId="62336F62" w14:textId="3DFEA0C8" w:rsidR="00303EC3" w:rsidRPr="00A25545" w:rsidRDefault="00303EC3" w:rsidP="00A25545">
      <w:pPr>
        <w:pStyle w:val="Heading4"/>
        <w:rPr>
          <w:lang w:val="en-GB"/>
        </w:rPr>
      </w:pPr>
      <w:r w:rsidRPr="00A25545">
        <w:rPr>
          <w:lang w:val="en-GB"/>
        </w:rPr>
        <w:t>Mouse micronucleus assay (Fedorova-Dahms et al. 2011; BSL, 2010c)</w:t>
      </w:r>
    </w:p>
    <w:p w14:paraId="3B2F64FE" w14:textId="14656324" w:rsidR="00BE3399" w:rsidRDefault="00303EC3" w:rsidP="00FA31C9">
      <w:pPr>
        <w:widowControl/>
        <w:rPr>
          <w:lang w:val="en-GB"/>
        </w:rPr>
      </w:pPr>
      <w:r w:rsidRPr="00A25545">
        <w:rPr>
          <w:lang w:val="en-GB"/>
        </w:rPr>
        <w:t xml:space="preserve">Young adult NMRI mice, 5/sex/dose group, maintained under standard laboratory husbandry conditions, were the test system for this study. The test article was diluted in corn oil and administered as a single oral dose of 0 or 2000 mg/kg </w:t>
      </w:r>
      <w:r w:rsidR="008A1C62" w:rsidRPr="00A25545">
        <w:rPr>
          <w:lang w:val="en-GB"/>
        </w:rPr>
        <w:t xml:space="preserve">bw </w:t>
      </w:r>
      <w:r w:rsidRPr="00A25545">
        <w:rPr>
          <w:lang w:val="en-GB"/>
        </w:rPr>
        <w:t xml:space="preserve">DHA-rich </w:t>
      </w:r>
      <w:r w:rsidR="00A11242" w:rsidRPr="00A25545">
        <w:rPr>
          <w:lang w:val="en-GB"/>
        </w:rPr>
        <w:t>a</w:t>
      </w:r>
      <w:r w:rsidRPr="00A25545">
        <w:rPr>
          <w:lang w:val="en-GB"/>
        </w:rPr>
        <w:t xml:space="preserve">lgal </w:t>
      </w:r>
      <w:r w:rsidR="00A11242" w:rsidRPr="00A25545">
        <w:rPr>
          <w:lang w:val="en-GB"/>
        </w:rPr>
        <w:t>o</w:t>
      </w:r>
      <w:r w:rsidRPr="00A25545">
        <w:rPr>
          <w:lang w:val="en-GB"/>
        </w:rPr>
        <w:t xml:space="preserve">il at 10 mL/kg </w:t>
      </w:r>
      <w:r w:rsidR="008A1C62" w:rsidRPr="00A25545">
        <w:rPr>
          <w:lang w:val="en-GB"/>
        </w:rPr>
        <w:t>bw</w:t>
      </w:r>
      <w:r w:rsidRPr="00A25545">
        <w:rPr>
          <w:lang w:val="en-GB"/>
        </w:rPr>
        <w:t>. Cyclophosphamide, 40 mg/kg</w:t>
      </w:r>
      <w:r w:rsidR="0017229A" w:rsidRPr="00A25545">
        <w:rPr>
          <w:lang w:val="en-GB"/>
        </w:rPr>
        <w:t xml:space="preserve"> bw</w:t>
      </w:r>
      <w:r w:rsidRPr="00A25545">
        <w:rPr>
          <w:lang w:val="en-GB"/>
        </w:rPr>
        <w:t xml:space="preserve"> was administered IP to a positive control group. No clinical evidence of toxicity was observed as a result of treatment with DHA-rich </w:t>
      </w:r>
      <w:r w:rsidR="00A11242" w:rsidRPr="00A25545">
        <w:rPr>
          <w:lang w:val="en-GB"/>
        </w:rPr>
        <w:t>a</w:t>
      </w:r>
      <w:r w:rsidRPr="00A25545">
        <w:rPr>
          <w:lang w:val="en-GB"/>
        </w:rPr>
        <w:t xml:space="preserve">lgal </w:t>
      </w:r>
      <w:r w:rsidR="00A11242" w:rsidRPr="00A25545">
        <w:rPr>
          <w:lang w:val="en-GB"/>
        </w:rPr>
        <w:t>o</w:t>
      </w:r>
      <w:r w:rsidRPr="00A25545">
        <w:rPr>
          <w:lang w:val="en-GB"/>
        </w:rPr>
        <w:t>il. Peripheral blood was collected from the tail vein 44 and 68 h after treatment</w:t>
      </w:r>
      <w:r w:rsidR="00413628" w:rsidRPr="00A25545">
        <w:rPr>
          <w:lang w:val="en-GB"/>
        </w:rPr>
        <w:t xml:space="preserve">. </w:t>
      </w:r>
      <w:r w:rsidRPr="00A25545">
        <w:rPr>
          <w:lang w:val="en-GB"/>
        </w:rPr>
        <w:t xml:space="preserve">Blood cells were fixed and evaluated by flow cytometry. At least 10,000 immature erythrocytes/mouse were scored for the incidence of micronuclei, and the ratio between immature and mature erythrocytes was calculated. </w:t>
      </w:r>
      <w:r w:rsidR="00BE3399">
        <w:rPr>
          <w:lang w:val="en-GB"/>
        </w:rPr>
        <w:br w:type="page"/>
      </w:r>
    </w:p>
    <w:p w14:paraId="5D20AC9C" w14:textId="2442489B" w:rsidR="00303EC3" w:rsidRPr="00A25545" w:rsidRDefault="00303EC3" w:rsidP="00FA31C9">
      <w:pPr>
        <w:widowControl/>
        <w:rPr>
          <w:lang w:val="en-GB" w:bidi="ar-SA"/>
        </w:rPr>
      </w:pPr>
      <w:r w:rsidRPr="00A25545">
        <w:rPr>
          <w:lang w:val="en-GB"/>
        </w:rPr>
        <w:lastRenderedPageBreak/>
        <w:t xml:space="preserve">DHA-rich </w:t>
      </w:r>
      <w:r w:rsidR="00A11242" w:rsidRPr="00A25545">
        <w:rPr>
          <w:lang w:val="en-GB"/>
        </w:rPr>
        <w:t>a</w:t>
      </w:r>
      <w:r w:rsidRPr="00A25545">
        <w:rPr>
          <w:lang w:val="en-GB"/>
        </w:rPr>
        <w:t xml:space="preserve">lgal </w:t>
      </w:r>
      <w:r w:rsidR="00A11242" w:rsidRPr="00A25545">
        <w:rPr>
          <w:lang w:val="en-GB"/>
        </w:rPr>
        <w:t>o</w:t>
      </w:r>
      <w:r w:rsidRPr="00A25545">
        <w:rPr>
          <w:lang w:val="en-GB"/>
        </w:rPr>
        <w:t xml:space="preserve">il did not induce structural or numerical chromosomal damage in the immature erythrocytes of the mice, and was therefore considered </w:t>
      </w:r>
      <w:r w:rsidR="008A1C62" w:rsidRPr="00A25545">
        <w:rPr>
          <w:lang w:val="en-GB"/>
        </w:rPr>
        <w:t xml:space="preserve">not to be genotoxic under the conditions of the assay. </w:t>
      </w:r>
    </w:p>
    <w:p w14:paraId="498ABE3A" w14:textId="30A01455" w:rsidR="00303EC3" w:rsidRPr="00A76FA6" w:rsidRDefault="002B507B" w:rsidP="0029539A">
      <w:pPr>
        <w:pStyle w:val="Heading2"/>
      </w:pPr>
      <w:bookmarkStart w:id="44" w:name="_Toc456609500"/>
      <w:bookmarkStart w:id="45" w:name="_Toc457821687"/>
      <w:bookmarkStart w:id="46" w:name="_Toc464129781"/>
      <w:r w:rsidRPr="00FE490D">
        <w:t>3</w:t>
      </w:r>
      <w:r w:rsidR="009613B0" w:rsidRPr="00A76FA6">
        <w:t>.</w:t>
      </w:r>
      <w:r w:rsidR="00571148">
        <w:t>4</w:t>
      </w:r>
      <w:r w:rsidR="009613B0" w:rsidRPr="00A76FA6">
        <w:tab/>
      </w:r>
      <w:r w:rsidR="00303EC3" w:rsidRPr="00A76FA6">
        <w:t xml:space="preserve">Studies in </w:t>
      </w:r>
      <w:r w:rsidR="00A11242" w:rsidRPr="00A76FA6">
        <w:t>e</w:t>
      </w:r>
      <w:r w:rsidR="00303EC3" w:rsidRPr="00A76FA6">
        <w:t xml:space="preserve">xperimental </w:t>
      </w:r>
      <w:r w:rsidR="00A11242" w:rsidRPr="00A76FA6">
        <w:t>a</w:t>
      </w:r>
      <w:r w:rsidR="00303EC3" w:rsidRPr="00A76FA6">
        <w:t>nimals</w:t>
      </w:r>
      <w:bookmarkEnd w:id="44"/>
      <w:bookmarkEnd w:id="45"/>
      <w:bookmarkEnd w:id="46"/>
    </w:p>
    <w:p w14:paraId="158E2B78" w14:textId="1EDA9985" w:rsidR="00303EC3" w:rsidRPr="00A25545" w:rsidRDefault="002B507B" w:rsidP="00FE490D">
      <w:pPr>
        <w:pStyle w:val="Heading3"/>
        <w:rPr>
          <w:lang w:val="en-GB"/>
        </w:rPr>
      </w:pPr>
      <w:bookmarkStart w:id="47" w:name="_Toc464129782"/>
      <w:r w:rsidRPr="00A25545">
        <w:rPr>
          <w:lang w:val="en-GB"/>
        </w:rPr>
        <w:t>3</w:t>
      </w:r>
      <w:r w:rsidR="009613B0" w:rsidRPr="00A25545">
        <w:rPr>
          <w:lang w:val="en-GB"/>
        </w:rPr>
        <w:t>.</w:t>
      </w:r>
      <w:r w:rsidR="00571148">
        <w:rPr>
          <w:lang w:val="en-GB"/>
        </w:rPr>
        <w:t>4</w:t>
      </w:r>
      <w:r w:rsidR="009613B0" w:rsidRPr="00A25545">
        <w:rPr>
          <w:lang w:val="en-GB"/>
        </w:rPr>
        <w:t>.1</w:t>
      </w:r>
      <w:r w:rsidR="009613B0" w:rsidRPr="00A25545">
        <w:rPr>
          <w:lang w:val="en-GB"/>
        </w:rPr>
        <w:tab/>
      </w:r>
      <w:r w:rsidR="00303EC3" w:rsidRPr="00A25545">
        <w:rPr>
          <w:lang w:val="en-GB"/>
        </w:rPr>
        <w:t>Source organism</w:t>
      </w:r>
      <w:bookmarkEnd w:id="47"/>
    </w:p>
    <w:p w14:paraId="0A26690C" w14:textId="77777777" w:rsidR="00303EC3" w:rsidRPr="00A25545" w:rsidRDefault="00303EC3" w:rsidP="00A25545">
      <w:pPr>
        <w:pStyle w:val="Heading4"/>
        <w:rPr>
          <w:lang w:val="en-GB" w:eastAsia="en-AU"/>
        </w:rPr>
      </w:pPr>
      <w:r w:rsidRPr="00A25545">
        <w:rPr>
          <w:lang w:val="en-GB" w:eastAsia="en-AU"/>
        </w:rPr>
        <w:t>13-week subchronic study in rats (Hammond et al. 2001a)</w:t>
      </w:r>
    </w:p>
    <w:p w14:paraId="69D2415C" w14:textId="446B215F" w:rsidR="00EC62FF" w:rsidRPr="00A25545" w:rsidRDefault="00303EC3" w:rsidP="00303EC3">
      <w:pPr>
        <w:rPr>
          <w:lang w:val="en-GB" w:eastAsia="en-AU" w:bidi="ar-SA"/>
        </w:rPr>
      </w:pPr>
      <w:r w:rsidRPr="00A25545">
        <w:rPr>
          <w:lang w:val="en-GB" w:eastAsia="en-AU" w:bidi="ar-SA"/>
        </w:rPr>
        <w:t xml:space="preserve">Powdered </w:t>
      </w:r>
      <w:r w:rsidRPr="00A25545">
        <w:rPr>
          <w:i/>
          <w:lang w:val="en-GB" w:eastAsia="en-AU" w:bidi="ar-SA"/>
        </w:rPr>
        <w:t xml:space="preserve">Schizochytrium </w:t>
      </w:r>
      <w:r w:rsidRPr="00A25545">
        <w:rPr>
          <w:lang w:val="en-GB" w:eastAsia="en-AU" w:bidi="ar-SA"/>
        </w:rPr>
        <w:t>sp. (DRM), stabili</w:t>
      </w:r>
      <w:r w:rsidR="00571148">
        <w:rPr>
          <w:lang w:val="en-GB" w:eastAsia="en-AU" w:bidi="ar-SA"/>
        </w:rPr>
        <w:t>s</w:t>
      </w:r>
      <w:r w:rsidRPr="00A25545">
        <w:rPr>
          <w:lang w:val="en-GB" w:eastAsia="en-AU" w:bidi="ar-SA"/>
        </w:rPr>
        <w:t>ed against oxidation with Vitamin E acetate, was administered in the diet to Sprague-Dawley derived rats, 20/sex/group, at target dose levels of 0, 400, 1500, and 4000 mg/kg</w:t>
      </w:r>
      <w:r w:rsidR="008A1C62" w:rsidRPr="00A25545">
        <w:rPr>
          <w:lang w:val="en-GB" w:eastAsia="en-AU" w:bidi="ar-SA"/>
        </w:rPr>
        <w:t xml:space="preserve"> bw</w:t>
      </w:r>
      <w:r w:rsidRPr="00A25545">
        <w:rPr>
          <w:lang w:val="en-GB" w:eastAsia="en-AU" w:bidi="ar-SA"/>
        </w:rPr>
        <w:t>/day for at least 13 weeks.</w:t>
      </w:r>
      <w:r w:rsidRPr="00A25545">
        <w:rPr>
          <w:lang w:val="en-GB"/>
        </w:rPr>
        <w:t xml:space="preserve"> </w:t>
      </w:r>
      <w:r w:rsidRPr="00A25545">
        <w:rPr>
          <w:lang w:val="en-GB" w:eastAsia="en-AU" w:bidi="ar-SA"/>
        </w:rPr>
        <w:t>An additional group (20/sex) received diet mixed with fish oil at a dose level of 1628 mg/kg</w:t>
      </w:r>
      <w:r w:rsidR="008A1C62" w:rsidRPr="00A25545">
        <w:rPr>
          <w:lang w:val="en-GB" w:eastAsia="en-AU" w:bidi="ar-SA"/>
        </w:rPr>
        <w:t xml:space="preserve"> bw</w:t>
      </w:r>
      <w:r w:rsidRPr="00A25545">
        <w:rPr>
          <w:lang w:val="en-GB" w:eastAsia="en-AU" w:bidi="ar-SA"/>
        </w:rPr>
        <w:t>/day, an equivalent amount of fat as the highest dose (1500 mg/kg</w:t>
      </w:r>
      <w:r w:rsidR="008A1C62" w:rsidRPr="00A25545">
        <w:rPr>
          <w:lang w:val="en-GB" w:eastAsia="en-AU" w:bidi="ar-SA"/>
        </w:rPr>
        <w:t xml:space="preserve"> bw</w:t>
      </w:r>
      <w:r w:rsidRPr="00A25545">
        <w:rPr>
          <w:lang w:val="en-GB" w:eastAsia="en-AU" w:bidi="ar-SA"/>
        </w:rPr>
        <w:t xml:space="preserve">/day) of DRM. Fresh diets were prepared weekly. Rats were housed under standard laboratory conditions and were 5–6 weeks old at study start. Endpoints measured in all rats on study were survival, clinical signs, bodyweight, food consumption, ophthalmology, gross necropsy, selected organ weights, and histopathology of a complete tissue list. </w:t>
      </w:r>
    </w:p>
    <w:p w14:paraId="08CAFD6E" w14:textId="77777777" w:rsidR="00EC62FF" w:rsidRPr="00A25545" w:rsidRDefault="00EC62FF" w:rsidP="00303EC3">
      <w:pPr>
        <w:rPr>
          <w:lang w:val="en-GB" w:eastAsia="en-AU" w:bidi="ar-SA"/>
        </w:rPr>
      </w:pPr>
    </w:p>
    <w:p w14:paraId="41FE0BA5" w14:textId="42224368" w:rsidR="00303EC3" w:rsidRPr="00A25545" w:rsidRDefault="00303EC3" w:rsidP="00303EC3">
      <w:pPr>
        <w:rPr>
          <w:lang w:val="en-GB" w:eastAsia="en-AU" w:bidi="ar-SA"/>
        </w:rPr>
      </w:pPr>
      <w:r w:rsidRPr="00A25545">
        <w:rPr>
          <w:lang w:val="en-GB" w:eastAsia="en-AU" w:bidi="ar-SA"/>
        </w:rPr>
        <w:t>Samples for clinical pathology (haematology, serum chemistry and urinalysis) were collected from 10 rats/sex/group during week 6-7 and from the same rats at scheduled termination. The parameters measured in clinical pathology samples were standard for GLP</w:t>
      </w:r>
      <w:r w:rsidR="00C37AF8" w:rsidRPr="00A25545">
        <w:rPr>
          <w:lang w:val="en-GB" w:eastAsia="en-AU" w:bidi="ar-SA"/>
        </w:rPr>
        <w:t>-</w:t>
      </w:r>
      <w:r w:rsidRPr="00A25545">
        <w:rPr>
          <w:lang w:val="en-GB" w:eastAsia="en-AU" w:bidi="ar-SA"/>
        </w:rPr>
        <w:t>compliant toxicology studies of this duration in this species.</w:t>
      </w:r>
    </w:p>
    <w:p w14:paraId="4A119B06" w14:textId="77777777" w:rsidR="00303EC3" w:rsidRPr="00A25545" w:rsidRDefault="00303EC3" w:rsidP="00303EC3">
      <w:pPr>
        <w:rPr>
          <w:lang w:val="en-GB" w:eastAsia="en-AU" w:bidi="ar-SA"/>
        </w:rPr>
      </w:pPr>
    </w:p>
    <w:p w14:paraId="68929F7E" w14:textId="77777777" w:rsidR="00A25545" w:rsidRDefault="00303EC3" w:rsidP="00303EC3">
      <w:pPr>
        <w:rPr>
          <w:lang w:val="en-GB" w:eastAsia="en-AU" w:bidi="ar-SA"/>
        </w:rPr>
      </w:pPr>
      <w:r w:rsidRPr="00A25545">
        <w:rPr>
          <w:lang w:val="en-GB" w:eastAsia="en-AU" w:bidi="ar-SA"/>
        </w:rPr>
        <w:t>All rats survived to scheduled termination and there were no treatment-related clinical signs observed on cage</w:t>
      </w:r>
      <w:r w:rsidR="008A1C62" w:rsidRPr="00A25545">
        <w:rPr>
          <w:lang w:val="en-GB" w:eastAsia="en-AU" w:bidi="ar-SA"/>
        </w:rPr>
        <w:t>-</w:t>
      </w:r>
      <w:r w:rsidRPr="00A25545">
        <w:rPr>
          <w:lang w:val="en-GB" w:eastAsia="en-AU" w:bidi="ar-SA"/>
        </w:rPr>
        <w:t>side examinations or weekly detailed in-hand examinations. There were no treatment-related effects on ophthalmology, bodyweight gain or food consumption. Actual food consumptions were very close to target dose levels; averaging 392, 1477, and 3905 mg/kg/day in males and 393, 1484, and 3937 mg/kg</w:t>
      </w:r>
      <w:r w:rsidR="008A1C62" w:rsidRPr="00A25545">
        <w:rPr>
          <w:lang w:val="en-GB" w:eastAsia="en-AU" w:bidi="ar-SA"/>
        </w:rPr>
        <w:t xml:space="preserve"> bw</w:t>
      </w:r>
      <w:r w:rsidRPr="00A25545">
        <w:rPr>
          <w:lang w:val="en-GB" w:eastAsia="en-AU" w:bidi="ar-SA"/>
        </w:rPr>
        <w:t>/day in females. There were no treatment-related effects on haematology, urinalysis or urine sediment parameters. Statistically significant decreases in group mean HDL and total cholesterol, relative to those of control groups, were observed in both sexes in the fish oil group, in 4000 mg/kg</w:t>
      </w:r>
      <w:r w:rsidR="008A1C62" w:rsidRPr="00A25545">
        <w:rPr>
          <w:lang w:val="en-GB" w:eastAsia="en-AU" w:bidi="ar-SA"/>
        </w:rPr>
        <w:t xml:space="preserve"> bw</w:t>
      </w:r>
      <w:r w:rsidRPr="00A25545">
        <w:rPr>
          <w:lang w:val="en-GB" w:eastAsia="en-AU" w:bidi="ar-SA"/>
        </w:rPr>
        <w:t xml:space="preserve">/day DRM females, and in </w:t>
      </w:r>
      <w:r w:rsidRPr="00A25545">
        <w:rPr>
          <w:rFonts w:cs="Arial"/>
          <w:lang w:val="en-GB" w:eastAsia="en-AU" w:bidi="ar-SA"/>
        </w:rPr>
        <w:t>≥</w:t>
      </w:r>
      <w:r w:rsidRPr="00A25545">
        <w:rPr>
          <w:lang w:val="en-GB" w:eastAsia="en-AU" w:bidi="ar-SA"/>
        </w:rPr>
        <w:t>1500 mg/kg</w:t>
      </w:r>
      <w:r w:rsidR="008A1C62" w:rsidRPr="00A25545">
        <w:rPr>
          <w:lang w:val="en-GB" w:eastAsia="en-AU" w:bidi="ar-SA"/>
        </w:rPr>
        <w:t xml:space="preserve"> bw</w:t>
      </w:r>
      <w:r w:rsidRPr="00A25545">
        <w:rPr>
          <w:lang w:val="en-GB" w:eastAsia="en-AU" w:bidi="ar-SA"/>
        </w:rPr>
        <w:t xml:space="preserve">/day DRM males. These effects were not considered to be adverse, have been observed previously in rats supplemented with DHA, and are attributed to the known effects of PUFAs which include increasing hepatic oxidation of fatty acids and decreasing lipogenesis. Periportal hepatocellular accumulation of lipid was observed in the livers of female rats at all dose levels of DRM and also in the fish oil group, but was not considered adverse or unexpected, given that the diets contained a higher total fat content than the basal diet fed to the control females. </w:t>
      </w:r>
    </w:p>
    <w:p w14:paraId="2CD9FA8E" w14:textId="77777777" w:rsidR="00A25545" w:rsidRDefault="00A25545" w:rsidP="00303EC3">
      <w:pPr>
        <w:rPr>
          <w:lang w:val="en-GB" w:eastAsia="en-AU" w:bidi="ar-SA"/>
        </w:rPr>
      </w:pPr>
    </w:p>
    <w:p w14:paraId="2075061B" w14:textId="5BFDA619" w:rsidR="00303EC3" w:rsidRPr="00A25545" w:rsidRDefault="00303EC3" w:rsidP="00303EC3">
      <w:pPr>
        <w:rPr>
          <w:lang w:val="en-GB" w:eastAsia="en-AU" w:bidi="ar-SA"/>
        </w:rPr>
      </w:pPr>
      <w:r w:rsidRPr="00A25545">
        <w:rPr>
          <w:lang w:val="en-GB" w:eastAsia="en-AU" w:bidi="ar-SA"/>
        </w:rPr>
        <w:t>A slight increase in the incidence, but not the severity, of subclinical cardiomyopathy was observed only in the 4000 mg/kg</w:t>
      </w:r>
      <w:r w:rsidR="002E3860" w:rsidRPr="00A25545">
        <w:rPr>
          <w:lang w:val="en-GB" w:eastAsia="en-AU" w:bidi="ar-SA"/>
        </w:rPr>
        <w:t xml:space="preserve"> bw</w:t>
      </w:r>
      <w:r w:rsidRPr="00A25545">
        <w:rPr>
          <w:lang w:val="en-GB" w:eastAsia="en-AU" w:bidi="ar-SA"/>
        </w:rPr>
        <w:t>/day DRM male rats. Cardiomyopathy is a recogni</w:t>
      </w:r>
      <w:r w:rsidR="00C94E0D" w:rsidRPr="00A25545">
        <w:rPr>
          <w:lang w:val="en-GB" w:eastAsia="en-AU" w:bidi="ar-SA"/>
        </w:rPr>
        <w:t>s</w:t>
      </w:r>
      <w:r w:rsidRPr="00A25545">
        <w:rPr>
          <w:lang w:val="en-GB" w:eastAsia="en-AU" w:bidi="ar-SA"/>
        </w:rPr>
        <w:t>ed and well</w:t>
      </w:r>
      <w:r w:rsidR="00C37AF8" w:rsidRPr="00A25545">
        <w:rPr>
          <w:lang w:val="en-GB" w:eastAsia="en-AU" w:bidi="ar-SA"/>
        </w:rPr>
        <w:t xml:space="preserve"> </w:t>
      </w:r>
      <w:r w:rsidRPr="00A25545">
        <w:rPr>
          <w:lang w:val="en-GB" w:eastAsia="en-AU" w:bidi="ar-SA"/>
        </w:rPr>
        <w:t>documented spontaneous lesion in rats, and it is also well documented that male Sprague-Dawley rats fed diets containing a high level of fat are uniquely sensitive to developing cardiomyopathy. Comparable lesions have not been observed in mice, dogs, pigs or nonhuman primates fed diets high in fat. It is recognized that long-chain PUFAs of the linolenic acid family extensively accumulate in cardiac phospholipids in the rat</w:t>
      </w:r>
      <w:r w:rsidR="002E3860" w:rsidRPr="00A25545">
        <w:rPr>
          <w:lang w:val="en-GB" w:eastAsia="en-AU" w:bidi="ar-SA"/>
        </w:rPr>
        <w:t>,</w:t>
      </w:r>
      <w:r w:rsidRPr="00A25545">
        <w:rPr>
          <w:lang w:val="en-GB" w:eastAsia="en-AU" w:bidi="ar-SA"/>
        </w:rPr>
        <w:t xml:space="preserve"> but not in other species. Compared to other species, rats have a much lower ability to oxidi</w:t>
      </w:r>
      <w:r w:rsidR="00C94E0D" w:rsidRPr="00A25545">
        <w:rPr>
          <w:lang w:val="en-GB" w:eastAsia="en-AU" w:bidi="ar-SA"/>
        </w:rPr>
        <w:t>s</w:t>
      </w:r>
      <w:r w:rsidRPr="00A25545">
        <w:rPr>
          <w:lang w:val="en-GB" w:eastAsia="en-AU" w:bidi="ar-SA"/>
        </w:rPr>
        <w:t>e C20 and C22 fatty acids, and in the rat these fatty acids cause secondary inhibition of the tricarboxylic acid cycle, an effect not observed in other species. This lesion is therefore not considered to be relevant to human health safety assessment</w:t>
      </w:r>
      <w:r w:rsidR="00413628" w:rsidRPr="00A25545">
        <w:rPr>
          <w:lang w:val="en-GB" w:eastAsia="en-AU" w:bidi="ar-SA"/>
        </w:rPr>
        <w:t xml:space="preserve">. </w:t>
      </w:r>
      <w:r w:rsidRPr="00A25545">
        <w:rPr>
          <w:lang w:val="en-GB" w:eastAsia="en-AU" w:bidi="ar-SA"/>
        </w:rPr>
        <w:t>Myocarditis in the rat is not similar to the most prevalent heart disease in human</w:t>
      </w:r>
      <w:r w:rsidR="005F0105" w:rsidRPr="00A25545">
        <w:rPr>
          <w:lang w:val="en-GB" w:eastAsia="en-AU" w:bidi="ar-SA"/>
        </w:rPr>
        <w:t>s</w:t>
      </w:r>
      <w:r w:rsidRPr="00A25545">
        <w:rPr>
          <w:lang w:val="en-GB" w:eastAsia="en-AU" w:bidi="ar-SA"/>
        </w:rPr>
        <w:t>, which affects cardiac vasculature rather than cardiac muscle.</w:t>
      </w:r>
    </w:p>
    <w:p w14:paraId="4477F3E1" w14:textId="6287D163" w:rsidR="00BE3399" w:rsidRDefault="00BE3399" w:rsidP="00303EC3">
      <w:pPr>
        <w:rPr>
          <w:lang w:val="en-GB" w:eastAsia="en-AU" w:bidi="ar-SA"/>
        </w:rPr>
      </w:pPr>
      <w:r>
        <w:rPr>
          <w:lang w:val="en-GB" w:eastAsia="en-AU" w:bidi="ar-SA"/>
        </w:rPr>
        <w:br w:type="page"/>
      </w:r>
    </w:p>
    <w:p w14:paraId="3C8CB32A" w14:textId="0FC68E02" w:rsidR="00EA28E6" w:rsidRPr="00A25545" w:rsidRDefault="00AC7D29" w:rsidP="00FA31C9">
      <w:pPr>
        <w:widowControl/>
        <w:rPr>
          <w:lang w:val="en-GB" w:eastAsia="en-AU" w:bidi="ar-SA"/>
        </w:rPr>
      </w:pPr>
      <w:r w:rsidRPr="00A25545">
        <w:rPr>
          <w:lang w:val="en-GB" w:eastAsia="en-AU" w:bidi="ar-SA"/>
        </w:rPr>
        <w:lastRenderedPageBreak/>
        <w:t xml:space="preserve">The results of this study establish a </w:t>
      </w:r>
      <w:r w:rsidR="00303EC3" w:rsidRPr="00A25545">
        <w:rPr>
          <w:lang w:val="en-GB" w:eastAsia="en-AU" w:bidi="ar-SA"/>
        </w:rPr>
        <w:t xml:space="preserve">subchronic dietary </w:t>
      </w:r>
      <w:r w:rsidRPr="00A25545">
        <w:rPr>
          <w:lang w:val="en-GB" w:eastAsia="en-AU" w:bidi="ar-SA"/>
        </w:rPr>
        <w:t xml:space="preserve">No Observed Effect Level (NOEL) </w:t>
      </w:r>
      <w:r w:rsidR="00303EC3" w:rsidRPr="00A25545">
        <w:rPr>
          <w:lang w:val="en-GB" w:eastAsia="en-AU" w:bidi="ar-SA"/>
        </w:rPr>
        <w:t xml:space="preserve">of DRM </w:t>
      </w:r>
      <w:r w:rsidRPr="00A25545">
        <w:rPr>
          <w:lang w:val="en-GB" w:eastAsia="en-AU" w:bidi="ar-SA"/>
        </w:rPr>
        <w:t xml:space="preserve">in </w:t>
      </w:r>
      <w:r w:rsidR="00303EC3" w:rsidRPr="00A25545">
        <w:rPr>
          <w:lang w:val="en-GB" w:eastAsia="en-AU" w:bidi="ar-SA"/>
        </w:rPr>
        <w:t xml:space="preserve">Sprague-Dawley rats </w:t>
      </w:r>
      <w:r w:rsidRPr="00A25545">
        <w:rPr>
          <w:lang w:val="en-GB" w:eastAsia="en-AU" w:bidi="ar-SA"/>
        </w:rPr>
        <w:t xml:space="preserve">of </w:t>
      </w:r>
      <w:r w:rsidR="00303EC3" w:rsidRPr="00A25545">
        <w:rPr>
          <w:lang w:val="en-GB" w:eastAsia="en-AU" w:bidi="ar-SA"/>
        </w:rPr>
        <w:t>4000 mg/kg</w:t>
      </w:r>
      <w:r w:rsidR="002E3860" w:rsidRPr="00A25545">
        <w:rPr>
          <w:lang w:val="en-GB" w:eastAsia="en-AU" w:bidi="ar-SA"/>
        </w:rPr>
        <w:t xml:space="preserve"> bw</w:t>
      </w:r>
      <w:r w:rsidR="00303EC3" w:rsidRPr="00A25545">
        <w:rPr>
          <w:lang w:val="en-GB" w:eastAsia="en-AU" w:bidi="ar-SA"/>
        </w:rPr>
        <w:t>/day.</w:t>
      </w:r>
      <w:r w:rsidRPr="00A25545">
        <w:rPr>
          <w:lang w:val="en-GB" w:eastAsia="en-AU" w:bidi="ar-SA"/>
        </w:rPr>
        <w:t xml:space="preserve"> </w:t>
      </w:r>
    </w:p>
    <w:p w14:paraId="7F4C77DE" w14:textId="212D8E19" w:rsidR="00303EC3" w:rsidRPr="00A25545" w:rsidRDefault="00303EC3" w:rsidP="00A25545">
      <w:pPr>
        <w:pStyle w:val="Heading4"/>
        <w:rPr>
          <w:lang w:val="en-GB" w:eastAsia="en-AU"/>
        </w:rPr>
      </w:pPr>
      <w:r w:rsidRPr="00A25545">
        <w:rPr>
          <w:lang w:val="en-GB" w:eastAsia="en-AU"/>
        </w:rPr>
        <w:t>One-generation reproductive toxicity study in rats (Hammond et al. 2001b).</w:t>
      </w:r>
    </w:p>
    <w:p w14:paraId="581EEA38" w14:textId="77777777" w:rsidR="00571148" w:rsidRDefault="00303EC3" w:rsidP="00303EC3">
      <w:pPr>
        <w:rPr>
          <w:lang w:val="en-GB" w:eastAsia="en-AU" w:bidi="ar-SA"/>
        </w:rPr>
      </w:pPr>
      <w:r w:rsidRPr="00A25545">
        <w:rPr>
          <w:lang w:val="en-GB" w:eastAsia="en-AU" w:bidi="ar-SA"/>
        </w:rPr>
        <w:t>Sprague-Dawley rats, 30/sex/group, were provided with a diet containing 0, 0.6, 6.0 or 30% DRM w/w, added to the diet as a dry powder. Homogeneity and stability in the diet were established pre</w:t>
      </w:r>
      <w:r w:rsidR="002E3860" w:rsidRPr="00A25545">
        <w:rPr>
          <w:lang w:val="en-GB" w:eastAsia="en-AU" w:bidi="ar-SA"/>
        </w:rPr>
        <w:t>-</w:t>
      </w:r>
      <w:r w:rsidRPr="00A25545">
        <w:rPr>
          <w:lang w:val="en-GB" w:eastAsia="en-AU" w:bidi="ar-SA"/>
        </w:rPr>
        <w:t>study. These concentrations resulted in mean doses of approximately 0, 400, 3900, and 17,800 mg/kg</w:t>
      </w:r>
      <w:r w:rsidR="002E3860" w:rsidRPr="00A25545">
        <w:rPr>
          <w:lang w:val="en-GB" w:eastAsia="en-AU" w:bidi="ar-SA"/>
        </w:rPr>
        <w:t xml:space="preserve"> bw</w:t>
      </w:r>
      <w:r w:rsidRPr="00A25545">
        <w:rPr>
          <w:lang w:val="en-GB" w:eastAsia="en-AU" w:bidi="ar-SA"/>
        </w:rPr>
        <w:t>/day for F0 males and 0, 480, 4600, and 20,700 mg/kg</w:t>
      </w:r>
      <w:r w:rsidR="002E3860" w:rsidRPr="00A25545">
        <w:rPr>
          <w:lang w:val="en-GB" w:eastAsia="en-AU" w:bidi="ar-SA"/>
        </w:rPr>
        <w:t xml:space="preserve"> bw</w:t>
      </w:r>
      <w:r w:rsidRPr="00A25545">
        <w:rPr>
          <w:lang w:val="en-GB" w:eastAsia="en-AU" w:bidi="ar-SA"/>
        </w:rPr>
        <w:t xml:space="preserve">/day for F0 females, respectively. Rats were maintained under standard husbandry conditions and individually housed, except during mating. F0 males were treated for 10 weeks prior to mating, through mating and to scheduled termination approximately 3 weeks after mating. </w:t>
      </w:r>
    </w:p>
    <w:p w14:paraId="6E690FE4" w14:textId="350C5C22" w:rsidR="00EC62FF" w:rsidRPr="00A25545" w:rsidRDefault="00303EC3" w:rsidP="00303EC3">
      <w:pPr>
        <w:rPr>
          <w:lang w:val="en-GB" w:eastAsia="en-AU" w:bidi="ar-SA"/>
        </w:rPr>
      </w:pPr>
      <w:r w:rsidRPr="00A25545">
        <w:rPr>
          <w:lang w:val="en-GB" w:eastAsia="en-AU" w:bidi="ar-SA"/>
        </w:rPr>
        <w:t xml:space="preserve">F0 females were treated for at least 2 weeks prior to mating, through mating, gestation and lactation, through to scheduled termination on postnatal day (PND) 21. Litters were culled to 4/sex/litter on PND 4. Parameters measured for assessment of toxicity included survival, bodyweight, food consumption (except during mating), oestrus cycle duration, mating performance, fertility, gestation length, parturition, gestation index, litter size, pup bodyweights, offspring viability index, vaginal opening of female pups, preputial separation of male pups, and gross necropsy findings of all F0 and F1 rats. </w:t>
      </w:r>
    </w:p>
    <w:p w14:paraId="5F566A38" w14:textId="77777777" w:rsidR="00EC62FF" w:rsidRPr="00A25545" w:rsidRDefault="00EC62FF" w:rsidP="00303EC3">
      <w:pPr>
        <w:rPr>
          <w:lang w:val="en-GB" w:eastAsia="en-AU" w:bidi="ar-SA"/>
        </w:rPr>
      </w:pPr>
    </w:p>
    <w:p w14:paraId="101B5E2F" w14:textId="0C5A3166" w:rsidR="00303EC3" w:rsidRPr="00A25545" w:rsidRDefault="00303EC3" w:rsidP="00303EC3">
      <w:pPr>
        <w:rPr>
          <w:lang w:val="en-GB" w:eastAsia="en-AU" w:bidi="ar-SA"/>
        </w:rPr>
      </w:pPr>
      <w:r w:rsidRPr="00A25545">
        <w:rPr>
          <w:lang w:val="en-GB" w:eastAsia="en-AU" w:bidi="ar-SA"/>
        </w:rPr>
        <w:t xml:space="preserve">In addition, sperm count, motility, and morphology were assessed at scheduled termination of F0 males, uteri of F0 females were examined for numbers of implantation sites, and reproductive tracts of both F0 sexes were subject to histopathological examination, including spermatogenic cycle evaluation in the right testis of F0 males. No test article-related adverse effects were observed in any parameter. At the highest test article concentration (30% w/w), food intake was slightly depressed in F0 males and bodyweight gain was slightly increased in F0 females. These effects were attributed to the high caloric content of the diet and not considered to be adverse. At DRM concentrations </w:t>
      </w:r>
      <w:r w:rsidRPr="00A25545">
        <w:rPr>
          <w:rFonts w:cs="Arial"/>
          <w:lang w:val="en-GB" w:eastAsia="en-AU" w:bidi="ar-SA"/>
        </w:rPr>
        <w:t>≥</w:t>
      </w:r>
      <w:r w:rsidRPr="00A25545">
        <w:rPr>
          <w:lang w:val="en-GB" w:eastAsia="en-AU" w:bidi="ar-SA"/>
        </w:rPr>
        <w:t xml:space="preserve"> </w:t>
      </w:r>
      <w:r w:rsidR="00AC7D29" w:rsidRPr="00A25545">
        <w:rPr>
          <w:lang w:val="en-GB" w:eastAsia="en-AU" w:bidi="ar-SA"/>
        </w:rPr>
        <w:t xml:space="preserve">6% </w:t>
      </w:r>
      <w:r w:rsidRPr="00A25545">
        <w:rPr>
          <w:lang w:val="en-GB" w:eastAsia="en-AU" w:bidi="ar-SA"/>
        </w:rPr>
        <w:t>w/w, females exhibited periportal vacuolation of hepatocytes, but this was attributed to the high lipid content of the diet and not interpreted as an adverse effect.</w:t>
      </w:r>
    </w:p>
    <w:p w14:paraId="04F8E5E7" w14:textId="77777777" w:rsidR="00303EC3" w:rsidRPr="00A25545" w:rsidRDefault="00303EC3" w:rsidP="00A25545">
      <w:pPr>
        <w:pStyle w:val="Heading4"/>
        <w:rPr>
          <w:lang w:val="en-GB" w:eastAsia="en-AU"/>
        </w:rPr>
      </w:pPr>
      <w:r w:rsidRPr="00A25545">
        <w:rPr>
          <w:lang w:val="en-GB" w:eastAsia="en-AU"/>
        </w:rPr>
        <w:t>Dietary study of developmental toxicity in rats (Hammond et al. 2001c).</w:t>
      </w:r>
    </w:p>
    <w:p w14:paraId="05228A9E" w14:textId="7B25BC57" w:rsidR="00303EC3" w:rsidRPr="00A25545" w:rsidRDefault="00303EC3" w:rsidP="00303EC3">
      <w:pPr>
        <w:rPr>
          <w:lang w:val="en-GB" w:eastAsia="en-AU" w:bidi="ar-SA"/>
        </w:rPr>
      </w:pPr>
      <w:r w:rsidRPr="00A25545">
        <w:rPr>
          <w:lang w:val="en-GB" w:eastAsia="en-AU" w:bidi="ar-SA"/>
        </w:rPr>
        <w:t xml:space="preserve">Female Sprague-Dawley rats, 25/group, were maintained under standard husbandry conditions and provided with </w:t>
      </w:r>
      <w:r w:rsidRPr="00A25545">
        <w:rPr>
          <w:i/>
          <w:lang w:val="en-GB" w:eastAsia="en-AU" w:bidi="ar-SA"/>
        </w:rPr>
        <w:t>ad libitum</w:t>
      </w:r>
      <w:r w:rsidRPr="00A25545">
        <w:rPr>
          <w:lang w:val="en-GB" w:eastAsia="en-AU" w:bidi="ar-SA"/>
        </w:rPr>
        <w:t xml:space="preserve"> access to diets containing 0, 0.6, 6.0 or 30% DRM w/w, added to the diet as a dry powder, from GD6 through to the morning of GD16. Homogeneity and stability of the test article in the diet were established pre</w:t>
      </w:r>
      <w:r w:rsidR="00D902FC" w:rsidRPr="00A25545">
        <w:rPr>
          <w:lang w:val="en-GB" w:eastAsia="en-AU" w:bidi="ar-SA"/>
        </w:rPr>
        <w:t>-</w:t>
      </w:r>
      <w:r w:rsidRPr="00A25545">
        <w:rPr>
          <w:lang w:val="en-GB" w:eastAsia="en-AU" w:bidi="ar-SA"/>
        </w:rPr>
        <w:t xml:space="preserve">study. Rats were killed on GD20. Endpoints for assessment of maternal toxicity were survival, clinical signs, bodyweight changes, gross necropsy findings, corpora lutea at necropsy, uterine weight, number and location of all fetuses, early and late resorptions, and total number of implantation sites. Fetuses were </w:t>
      </w:r>
      <w:r w:rsidR="00D902FC" w:rsidRPr="00A25545">
        <w:rPr>
          <w:lang w:val="en-GB" w:eastAsia="en-AU" w:bidi="ar-SA"/>
        </w:rPr>
        <w:t>killed</w:t>
      </w:r>
      <w:r w:rsidRPr="00A25545">
        <w:rPr>
          <w:lang w:val="en-GB" w:eastAsia="en-AU" w:bidi="ar-SA"/>
        </w:rPr>
        <w:t>, weighed, examined, dissected, fixed and examined for skeletal abnormalities using Alizarin Red. Heads were collected from half the fetuses and sectioned for examination of brains.</w:t>
      </w:r>
    </w:p>
    <w:p w14:paraId="192C7E02" w14:textId="77777777" w:rsidR="00303EC3" w:rsidRPr="00A25545" w:rsidRDefault="00303EC3" w:rsidP="00303EC3">
      <w:pPr>
        <w:rPr>
          <w:lang w:val="en-GB" w:eastAsia="en-AU" w:bidi="ar-SA"/>
        </w:rPr>
      </w:pPr>
    </w:p>
    <w:p w14:paraId="5AEAC574" w14:textId="0AD9F5D9" w:rsidR="00303EC3" w:rsidRPr="00A25545" w:rsidRDefault="00303EC3" w:rsidP="00303EC3">
      <w:pPr>
        <w:rPr>
          <w:lang w:val="en-GB" w:eastAsia="en-AU" w:bidi="ar-SA"/>
        </w:rPr>
      </w:pPr>
      <w:r w:rsidRPr="00A25545">
        <w:rPr>
          <w:lang w:val="en-GB" w:eastAsia="en-AU" w:bidi="ar-SA"/>
        </w:rPr>
        <w:t xml:space="preserve">There were no unscheduled maternal mortalities, and no clinical signs of toxicity. There was no treatment-related effect on bodyweight gain or food consumption at DRM concentrations of </w:t>
      </w:r>
      <w:r w:rsidRPr="00A25545">
        <w:rPr>
          <w:rFonts w:cs="Arial"/>
          <w:lang w:val="en-GB" w:eastAsia="en-AU" w:bidi="ar-SA"/>
        </w:rPr>
        <w:t>≤</w:t>
      </w:r>
      <w:r w:rsidRPr="00A25545">
        <w:rPr>
          <w:lang w:val="en-GB" w:eastAsia="en-AU" w:bidi="ar-SA"/>
        </w:rPr>
        <w:t>6.0% w/w. The group mean bodyweight gain of the 30% DRM group was greater than that of controls from GD6 to GD15 but significantly less (20% lower) than that of controls from GD16 to GD18. The group mean food consumption of the 30% DRM group was significantly lower (10% lower) than that of the control group from GD6 to GD9 and from GD16 to GD18, but was not significantly to that of controls during other intervals. There was no treatment-related effect on the number of rats in each group that became pregnant</w:t>
      </w:r>
      <w:r w:rsidR="00413628" w:rsidRPr="00A25545">
        <w:rPr>
          <w:lang w:val="en-GB" w:eastAsia="en-AU" w:bidi="ar-SA"/>
        </w:rPr>
        <w:t>.</w:t>
      </w:r>
    </w:p>
    <w:p w14:paraId="7BA5CBDA" w14:textId="77777777" w:rsidR="00303EC3" w:rsidRPr="00A25545" w:rsidRDefault="00303EC3" w:rsidP="00303EC3">
      <w:pPr>
        <w:rPr>
          <w:lang w:val="en-GB" w:eastAsia="en-AU" w:bidi="ar-SA"/>
        </w:rPr>
      </w:pPr>
    </w:p>
    <w:p w14:paraId="2D5881FE" w14:textId="77777777" w:rsidR="00BE3399" w:rsidRDefault="00BE3399" w:rsidP="00303EC3">
      <w:pPr>
        <w:rPr>
          <w:lang w:val="en-GB" w:eastAsia="en-AU" w:bidi="ar-SA"/>
        </w:rPr>
      </w:pPr>
      <w:r>
        <w:rPr>
          <w:lang w:val="en-GB" w:eastAsia="en-AU" w:bidi="ar-SA"/>
        </w:rPr>
        <w:br w:type="page"/>
      </w:r>
    </w:p>
    <w:p w14:paraId="228A6CCC" w14:textId="1A864D84" w:rsidR="00303EC3" w:rsidRPr="00A25545" w:rsidRDefault="00303EC3" w:rsidP="00303EC3">
      <w:pPr>
        <w:rPr>
          <w:lang w:val="en-GB" w:eastAsia="en-AU" w:bidi="ar-SA"/>
        </w:rPr>
      </w:pPr>
      <w:r w:rsidRPr="00A25545">
        <w:rPr>
          <w:lang w:val="en-GB" w:eastAsia="en-AU" w:bidi="ar-SA"/>
        </w:rPr>
        <w:lastRenderedPageBreak/>
        <w:t>Maternal consumption of DRM at up to 30% w/w in the diet had no effect on number of corpora lutea, number of implantations, number of live fetuses, percentage of resorptions, percentage of late fetal deaths, mean pup weights, sex ratio of pups, incidence of major malformations,</w:t>
      </w:r>
      <w:r w:rsidR="00FA544E" w:rsidRPr="00A25545">
        <w:rPr>
          <w:lang w:val="en-GB" w:eastAsia="en-AU" w:bidi="ar-SA"/>
        </w:rPr>
        <w:t xml:space="preserve"> </w:t>
      </w:r>
      <w:r w:rsidRPr="00A25545">
        <w:rPr>
          <w:lang w:val="en-GB" w:eastAsia="en-AU" w:bidi="ar-SA"/>
        </w:rPr>
        <w:t>or incidence of minor external or visceral anomalies. A statistically higher incidence (P&lt;0.05) of fetuses (but not litters) with reduced ossification of the ribs was observed in the mid (6%)- and high-dose (30%) DRM groups but in each group, this resulted from a single litter with a number of affected pups. This minor anomaly is known to occur as a background anomaly in this strain of rat, and was not considered to be a treatment-related effect in this study.</w:t>
      </w:r>
    </w:p>
    <w:p w14:paraId="337C98AA" w14:textId="77777777" w:rsidR="00303EC3" w:rsidRPr="00A25545" w:rsidRDefault="00303EC3" w:rsidP="00303EC3">
      <w:pPr>
        <w:rPr>
          <w:lang w:val="en-GB" w:eastAsia="en-AU" w:bidi="ar-SA"/>
        </w:rPr>
      </w:pPr>
    </w:p>
    <w:p w14:paraId="77E36FF8" w14:textId="2058640D" w:rsidR="00303EC3" w:rsidRPr="00A25545" w:rsidRDefault="002323B6" w:rsidP="00A25545">
      <w:pPr>
        <w:keepNext/>
        <w:keepLines/>
        <w:rPr>
          <w:lang w:val="en-GB" w:eastAsia="en-AU" w:bidi="ar-SA"/>
        </w:rPr>
      </w:pPr>
      <w:r w:rsidRPr="00A25545">
        <w:rPr>
          <w:lang w:val="en-GB" w:eastAsia="en-AU" w:bidi="ar-SA"/>
        </w:rPr>
        <w:t>The study authors</w:t>
      </w:r>
      <w:r w:rsidR="00303EC3" w:rsidRPr="00A25545">
        <w:rPr>
          <w:lang w:val="en-GB" w:eastAsia="en-AU" w:bidi="ar-SA"/>
        </w:rPr>
        <w:t xml:space="preserve"> concluded that the No Observed Effect Level </w:t>
      </w:r>
      <w:r w:rsidR="0015004E" w:rsidRPr="00A25545">
        <w:rPr>
          <w:lang w:val="en-GB" w:eastAsia="en-AU" w:bidi="ar-SA"/>
        </w:rPr>
        <w:t xml:space="preserve">(NOEL) </w:t>
      </w:r>
      <w:r w:rsidR="00303EC3" w:rsidRPr="00A25545">
        <w:rPr>
          <w:lang w:val="en-GB" w:eastAsia="en-AU" w:bidi="ar-SA"/>
        </w:rPr>
        <w:t>was the high</w:t>
      </w:r>
      <w:r w:rsidR="00C37AF8" w:rsidRPr="00A25545">
        <w:rPr>
          <w:lang w:val="en-GB" w:eastAsia="en-AU" w:bidi="ar-SA"/>
        </w:rPr>
        <w:t>-</w:t>
      </w:r>
      <w:r w:rsidR="00303EC3" w:rsidRPr="00A25545">
        <w:rPr>
          <w:lang w:val="en-GB" w:eastAsia="en-AU" w:bidi="ar-SA"/>
        </w:rPr>
        <w:t>dose of 30% DRM, which was equivalent to 22 g/kg bodyweight/day.</w:t>
      </w:r>
    </w:p>
    <w:p w14:paraId="6B4B71FB" w14:textId="77777777" w:rsidR="00303EC3" w:rsidRPr="00A25545" w:rsidRDefault="00303EC3" w:rsidP="00A25545">
      <w:pPr>
        <w:pStyle w:val="Heading4"/>
        <w:rPr>
          <w:lang w:val="en-GB" w:eastAsia="en-AU"/>
        </w:rPr>
      </w:pPr>
      <w:r w:rsidRPr="00A25545">
        <w:rPr>
          <w:lang w:val="en-GB" w:eastAsia="en-AU"/>
        </w:rPr>
        <w:t>Gavage study of developmental toxicity in rabbits (Hammond et al. 2001c).</w:t>
      </w:r>
    </w:p>
    <w:p w14:paraId="232F93C5" w14:textId="505872D3" w:rsidR="00EC62FF" w:rsidRPr="00A25545" w:rsidRDefault="00303EC3" w:rsidP="00303EC3">
      <w:pPr>
        <w:rPr>
          <w:lang w:val="en-GB" w:eastAsia="en-AU" w:bidi="ar-SA"/>
        </w:rPr>
      </w:pPr>
      <w:r w:rsidRPr="00A25545">
        <w:rPr>
          <w:lang w:val="en-GB" w:eastAsia="en-AU" w:bidi="ar-SA"/>
        </w:rPr>
        <w:t>Female New Zealand White rabbits were maintained under standard husbandry conditions and synchroni</w:t>
      </w:r>
      <w:r w:rsidR="00C94E0D" w:rsidRPr="00A25545">
        <w:rPr>
          <w:lang w:val="en-GB" w:eastAsia="en-AU" w:bidi="ar-SA"/>
        </w:rPr>
        <w:t>s</w:t>
      </w:r>
      <w:r w:rsidRPr="00A25545">
        <w:rPr>
          <w:lang w:val="en-GB" w:eastAsia="en-AU" w:bidi="ar-SA"/>
        </w:rPr>
        <w:t>ed with intravenous</w:t>
      </w:r>
      <w:r w:rsidR="00AC7D29" w:rsidRPr="00A25545">
        <w:rPr>
          <w:lang w:val="en-GB" w:eastAsia="en-AU" w:bidi="ar-SA"/>
        </w:rPr>
        <w:t xml:space="preserve"> human chorionic gonadotrophin</w:t>
      </w:r>
      <w:r w:rsidRPr="00A25545">
        <w:rPr>
          <w:lang w:val="en-GB" w:eastAsia="en-AU" w:bidi="ar-SA"/>
        </w:rPr>
        <w:t xml:space="preserve"> </w:t>
      </w:r>
      <w:r w:rsidR="00AC7D29" w:rsidRPr="00A25545">
        <w:rPr>
          <w:lang w:val="en-GB" w:eastAsia="en-AU" w:bidi="ar-SA"/>
        </w:rPr>
        <w:t>(</w:t>
      </w:r>
      <w:r w:rsidRPr="00A25545">
        <w:rPr>
          <w:lang w:val="en-GB" w:eastAsia="en-AU" w:bidi="ar-SA"/>
        </w:rPr>
        <w:t>HCG</w:t>
      </w:r>
      <w:r w:rsidR="00AC7D29" w:rsidRPr="00A25545">
        <w:rPr>
          <w:lang w:val="en-GB" w:eastAsia="en-AU" w:bidi="ar-SA"/>
        </w:rPr>
        <w:t>)</w:t>
      </w:r>
      <w:r w:rsidRPr="00A25545">
        <w:rPr>
          <w:lang w:val="en-GB" w:eastAsia="en-AU" w:bidi="ar-SA"/>
        </w:rPr>
        <w:t>, after which they were artificially inseminated with fresh semen (semen from one male per two females in the same group). Rabbits were gavaged twice daily from GD6 to GD18 with 0, 180, 600 or 1800 mg DRM/kg bw/day, using a vehicle of 0.5% methylcellulose (w/v) and 0.1% polysorbate 80 (v/v</w:t>
      </w:r>
      <w:r w:rsidR="00D902FC" w:rsidRPr="00A25545">
        <w:rPr>
          <w:lang w:val="en-GB" w:eastAsia="en-AU" w:bidi="ar-SA"/>
        </w:rPr>
        <w:t>)</w:t>
      </w:r>
      <w:r w:rsidRPr="00A25545">
        <w:rPr>
          <w:lang w:val="en-GB" w:eastAsia="en-AU" w:bidi="ar-SA"/>
        </w:rPr>
        <w:t xml:space="preserve">. </w:t>
      </w:r>
    </w:p>
    <w:p w14:paraId="4288D413" w14:textId="77777777" w:rsidR="00EC62FF" w:rsidRPr="00A25545" w:rsidRDefault="00EC62FF" w:rsidP="00303EC3">
      <w:pPr>
        <w:rPr>
          <w:lang w:val="en-GB" w:eastAsia="en-AU" w:bidi="ar-SA"/>
        </w:rPr>
      </w:pPr>
    </w:p>
    <w:p w14:paraId="3BC69422" w14:textId="61788B35" w:rsidR="00303EC3" w:rsidRPr="00A25545" w:rsidRDefault="00303EC3" w:rsidP="00303EC3">
      <w:pPr>
        <w:rPr>
          <w:lang w:val="en-GB" w:eastAsia="en-AU" w:bidi="ar-SA"/>
        </w:rPr>
      </w:pPr>
      <w:r w:rsidRPr="00A25545">
        <w:rPr>
          <w:lang w:val="en-GB" w:eastAsia="en-AU" w:bidi="ar-SA"/>
        </w:rPr>
        <w:t>An additional group was gavaged with fish oil, stabili</w:t>
      </w:r>
      <w:r w:rsidR="00253B8B">
        <w:rPr>
          <w:lang w:val="en-GB" w:eastAsia="en-AU" w:bidi="ar-SA"/>
        </w:rPr>
        <w:t>s</w:t>
      </w:r>
      <w:r w:rsidRPr="00A25545">
        <w:rPr>
          <w:lang w:val="en-GB" w:eastAsia="en-AU" w:bidi="ar-SA"/>
        </w:rPr>
        <w:t xml:space="preserve">ed with </w:t>
      </w:r>
      <w:r w:rsidR="00253B8B" w:rsidRPr="00A25545">
        <w:rPr>
          <w:lang w:val="en-GB" w:eastAsia="en-AU" w:bidi="ar-SA"/>
        </w:rPr>
        <w:t>vitamin</w:t>
      </w:r>
      <w:r w:rsidRPr="00A25545">
        <w:rPr>
          <w:lang w:val="en-GB" w:eastAsia="en-AU" w:bidi="ar-SA"/>
        </w:rPr>
        <w:t xml:space="preserve"> E, so that the amount of fat administered to the fish oil control rabbits approximated that received by the 1800 mg/kg bw</w:t>
      </w:r>
      <w:r w:rsidR="00D902FC" w:rsidRPr="00A25545">
        <w:rPr>
          <w:lang w:val="en-GB" w:eastAsia="en-AU" w:bidi="ar-SA"/>
        </w:rPr>
        <w:t>/day</w:t>
      </w:r>
      <w:r w:rsidRPr="00A25545">
        <w:rPr>
          <w:lang w:val="en-GB" w:eastAsia="en-AU" w:bidi="ar-SA"/>
        </w:rPr>
        <w:t xml:space="preserve"> DRM rabbits. Maternal endpoints measured during the in-life phase were survival, bodyweight changes, food consumption, and clinical signs. Rabbits were </w:t>
      </w:r>
      <w:r w:rsidR="00D902FC" w:rsidRPr="00A25545">
        <w:rPr>
          <w:lang w:val="en-GB" w:eastAsia="en-AU" w:bidi="ar-SA"/>
        </w:rPr>
        <w:t xml:space="preserve">killed </w:t>
      </w:r>
      <w:r w:rsidRPr="00A25545">
        <w:rPr>
          <w:lang w:val="en-GB" w:eastAsia="en-AU" w:bidi="ar-SA"/>
        </w:rPr>
        <w:t xml:space="preserve">on GD29. </w:t>
      </w:r>
      <w:r w:rsidR="00194445" w:rsidRPr="00A25545">
        <w:rPr>
          <w:lang w:val="en-GB" w:eastAsia="en-AU" w:bidi="ar-SA"/>
        </w:rPr>
        <w:t>Post</w:t>
      </w:r>
      <w:r w:rsidR="00194445">
        <w:rPr>
          <w:lang w:val="en-GB" w:eastAsia="en-AU" w:bidi="ar-SA"/>
        </w:rPr>
        <w:t>-</w:t>
      </w:r>
      <w:r w:rsidR="00194445" w:rsidRPr="00A25545">
        <w:rPr>
          <w:lang w:val="en-GB" w:eastAsia="en-AU" w:bidi="ar-SA"/>
        </w:rPr>
        <w:t>mortem</w:t>
      </w:r>
      <w:r w:rsidRPr="00A25545">
        <w:rPr>
          <w:lang w:val="en-GB" w:eastAsia="en-AU" w:bidi="ar-SA"/>
        </w:rPr>
        <w:t xml:space="preserve"> endpoints determined in the dams were complete gross necropsy, corpora lutea, uterine weight, number and location of all fetuses, early and late resorptions, and total number of implantation sites. Fetuses were </w:t>
      </w:r>
      <w:r w:rsidR="00194445" w:rsidRPr="00194445">
        <w:rPr>
          <w:lang w:val="en-GB" w:eastAsia="en-AU" w:bidi="ar-SA"/>
        </w:rPr>
        <w:t>euthanased</w:t>
      </w:r>
      <w:r w:rsidRPr="00A25545">
        <w:rPr>
          <w:lang w:val="en-GB" w:eastAsia="en-AU" w:bidi="ar-SA"/>
        </w:rPr>
        <w:t>, weighed, examined, dissected, fixed and examined for skeletal abnormalities using Alizarin Red. Kidneys were dissected and renal papilla development was graded.</w:t>
      </w:r>
    </w:p>
    <w:p w14:paraId="4C2D9F56" w14:textId="77777777" w:rsidR="00303EC3" w:rsidRPr="00A25545" w:rsidRDefault="00303EC3" w:rsidP="00303EC3">
      <w:pPr>
        <w:rPr>
          <w:lang w:val="en-GB" w:eastAsia="en-AU" w:bidi="ar-SA"/>
        </w:rPr>
      </w:pPr>
    </w:p>
    <w:p w14:paraId="0D468EEC" w14:textId="3A9B557D" w:rsidR="00303EC3" w:rsidRPr="00A25545" w:rsidRDefault="00303EC3" w:rsidP="00303EC3">
      <w:pPr>
        <w:rPr>
          <w:lang w:val="en-GB" w:eastAsia="en-AU" w:bidi="ar-SA"/>
        </w:rPr>
      </w:pPr>
      <w:r w:rsidRPr="00A25545">
        <w:rPr>
          <w:lang w:val="en-GB" w:eastAsia="en-AU" w:bidi="ar-SA"/>
        </w:rPr>
        <w:t>There were no maternal clinical signs of toxicity. One 1800 mg DRM/kg bw rabbit died as the result of a gavaging accident. One 600 mg DRM/kg bw</w:t>
      </w:r>
      <w:r w:rsidR="00D902FC" w:rsidRPr="00A25545">
        <w:rPr>
          <w:lang w:val="en-GB" w:eastAsia="en-AU" w:bidi="ar-SA"/>
        </w:rPr>
        <w:t>/day</w:t>
      </w:r>
      <w:r w:rsidRPr="00A25545">
        <w:rPr>
          <w:lang w:val="en-GB" w:eastAsia="en-AU" w:bidi="ar-SA"/>
        </w:rPr>
        <w:t xml:space="preserve"> rabbit died for unspecified reasons. One rabbit in the fish oil group spontaneously aborted on GD 23, and two rabbits in the 1800 mg DRM/kg bw</w:t>
      </w:r>
      <w:r w:rsidR="00D902FC" w:rsidRPr="00A25545">
        <w:rPr>
          <w:lang w:val="en-GB" w:eastAsia="en-AU" w:bidi="ar-SA"/>
        </w:rPr>
        <w:t>/day</w:t>
      </w:r>
      <w:r w:rsidRPr="00A25545">
        <w:rPr>
          <w:lang w:val="en-GB" w:eastAsia="en-AU" w:bidi="ar-SA"/>
        </w:rPr>
        <w:t xml:space="preserve"> group spontaneously aborted on GD 25 and 26</w:t>
      </w:r>
      <w:r w:rsidR="00413628" w:rsidRPr="00A25545">
        <w:rPr>
          <w:lang w:val="en-GB" w:eastAsia="en-AU" w:bidi="ar-SA"/>
        </w:rPr>
        <w:t xml:space="preserve">. </w:t>
      </w:r>
      <w:r w:rsidRPr="00A25545">
        <w:rPr>
          <w:lang w:val="en-GB" w:eastAsia="en-AU" w:bidi="ar-SA"/>
        </w:rPr>
        <w:t>There were no DRM-related effects on group mean food consumption, group mean bodyweight, bodyweight change, gravid uterine weight, net body weight</w:t>
      </w:r>
      <w:r w:rsidR="002323B6" w:rsidRPr="00A25545">
        <w:rPr>
          <w:lang w:val="en-GB" w:eastAsia="en-AU" w:bidi="ar-SA"/>
        </w:rPr>
        <w:t xml:space="preserve"> (i.e. excluding gravid uterus)</w:t>
      </w:r>
      <w:r w:rsidRPr="00A25545">
        <w:rPr>
          <w:lang w:val="en-GB" w:eastAsia="en-AU" w:bidi="ar-SA"/>
        </w:rPr>
        <w:t xml:space="preserve">, or net bodyweight change at doses </w:t>
      </w:r>
      <w:r w:rsidRPr="00A25545">
        <w:rPr>
          <w:rFonts w:cs="Arial"/>
          <w:lang w:val="en-GB" w:eastAsia="en-AU" w:bidi="ar-SA"/>
        </w:rPr>
        <w:t>≤</w:t>
      </w:r>
      <w:r w:rsidRPr="00A25545">
        <w:rPr>
          <w:lang w:val="en-GB" w:eastAsia="en-AU" w:bidi="ar-SA"/>
        </w:rPr>
        <w:t>600 mg DRM/kg bw/day. In the 1800 mg DRM/kg bw</w:t>
      </w:r>
      <w:r w:rsidR="00D902FC" w:rsidRPr="00A25545">
        <w:rPr>
          <w:lang w:val="en-GB" w:eastAsia="en-AU" w:bidi="ar-SA"/>
        </w:rPr>
        <w:t>/day</w:t>
      </w:r>
      <w:r w:rsidRPr="00A25545">
        <w:rPr>
          <w:lang w:val="en-GB" w:eastAsia="en-AU" w:bidi="ar-SA"/>
        </w:rPr>
        <w:t xml:space="preserve"> group, bodyweight gain was significant</w:t>
      </w:r>
      <w:r w:rsidR="00D902FC" w:rsidRPr="00A25545">
        <w:rPr>
          <w:lang w:val="en-GB" w:eastAsia="en-AU" w:bidi="ar-SA"/>
        </w:rPr>
        <w:t>ly</w:t>
      </w:r>
      <w:r w:rsidRPr="00A25545">
        <w:rPr>
          <w:lang w:val="en-GB" w:eastAsia="en-AU" w:bidi="ar-SA"/>
        </w:rPr>
        <w:t xml:space="preserve"> lower than that of controls over the GD6-19 day treatment interval and from GD 19-24, although it increased during the interval GD 24-29. The fish oil group showed very similar group mean bodyweight changes to the 1800 mg DRM/kg bw</w:t>
      </w:r>
      <w:r w:rsidR="00D902FC" w:rsidRPr="00A25545">
        <w:rPr>
          <w:lang w:val="en-GB" w:eastAsia="en-AU" w:bidi="ar-SA"/>
        </w:rPr>
        <w:t>/day</w:t>
      </w:r>
      <w:r w:rsidRPr="00A25545">
        <w:rPr>
          <w:lang w:val="en-GB" w:eastAsia="en-AU" w:bidi="ar-SA"/>
        </w:rPr>
        <w:t xml:space="preserve"> group. These two groups also showed statistically significant reductions in group mean food consumption between GD 6-19 and between GD 19-24, when compared to the control group, but group mean food consumption of these two groups was comparable to that of controls in the interval GD 24-29. Administration of DRM or fish oil had no effect on number of pregnancies/group. There were no treatment-related effects on mean number of corpora lutea or implantation sites, on live litter size or on </w:t>
      </w:r>
      <w:r w:rsidR="00194445" w:rsidRPr="00A25545">
        <w:rPr>
          <w:lang w:val="en-GB" w:eastAsia="en-AU" w:bidi="ar-SA"/>
        </w:rPr>
        <w:t>post</w:t>
      </w:r>
      <w:r w:rsidR="00194445">
        <w:rPr>
          <w:lang w:val="en-GB" w:eastAsia="en-AU" w:bidi="ar-SA"/>
        </w:rPr>
        <w:t>-</w:t>
      </w:r>
      <w:r w:rsidR="00194445" w:rsidRPr="00A25545">
        <w:rPr>
          <w:lang w:val="en-GB" w:eastAsia="en-AU" w:bidi="ar-SA"/>
        </w:rPr>
        <w:t>implantation</w:t>
      </w:r>
      <w:r w:rsidRPr="00A25545">
        <w:rPr>
          <w:lang w:val="en-GB" w:eastAsia="en-AU" w:bidi="ar-SA"/>
        </w:rPr>
        <w:t xml:space="preserve"> loss, mean fetal body weights, fetal sex ratios, or prevalence of morphological abnormalities and variations.</w:t>
      </w:r>
    </w:p>
    <w:p w14:paraId="66E59DB1" w14:textId="77777777" w:rsidR="00303EC3" w:rsidRPr="00A25545" w:rsidRDefault="00303EC3" w:rsidP="00303EC3">
      <w:pPr>
        <w:rPr>
          <w:lang w:val="en-GB" w:eastAsia="en-AU" w:bidi="ar-SA"/>
        </w:rPr>
      </w:pPr>
    </w:p>
    <w:p w14:paraId="46F32C28" w14:textId="00DBE44B" w:rsidR="00BE3399" w:rsidRDefault="00303EC3" w:rsidP="00303EC3">
      <w:pPr>
        <w:rPr>
          <w:lang w:val="en-GB" w:eastAsia="en-AU" w:bidi="ar-SA"/>
        </w:rPr>
      </w:pPr>
      <w:r w:rsidRPr="00A25545">
        <w:rPr>
          <w:lang w:val="en-GB" w:eastAsia="en-AU" w:bidi="ar-SA"/>
        </w:rPr>
        <w:t>The reductions in group mean food consumption and bodyweight gains in the fish oil and 1800 mg DRM/kg bw</w:t>
      </w:r>
      <w:r w:rsidR="00D902FC" w:rsidRPr="00A25545">
        <w:rPr>
          <w:lang w:val="en-GB" w:eastAsia="en-AU" w:bidi="ar-SA"/>
        </w:rPr>
        <w:t>/day</w:t>
      </w:r>
      <w:r w:rsidRPr="00A25545">
        <w:rPr>
          <w:lang w:val="en-GB" w:eastAsia="en-AU" w:bidi="ar-SA"/>
        </w:rPr>
        <w:t xml:space="preserve"> groups, and the possible increase in incidence of spontaneous abortions, were attributed to the high fat diet. It was concluded that, the NO</w:t>
      </w:r>
      <w:r w:rsidR="000D3C9A" w:rsidRPr="00A25545">
        <w:rPr>
          <w:lang w:val="en-GB" w:eastAsia="en-AU" w:bidi="ar-SA"/>
        </w:rPr>
        <w:t>A</w:t>
      </w:r>
      <w:r w:rsidRPr="00A25545">
        <w:rPr>
          <w:lang w:val="en-GB" w:eastAsia="en-AU" w:bidi="ar-SA"/>
        </w:rPr>
        <w:t>EL for</w:t>
      </w:r>
      <w:r w:rsidR="00253B8B">
        <w:rPr>
          <w:lang w:val="en-GB" w:eastAsia="en-AU" w:bidi="ar-SA"/>
        </w:rPr>
        <w:t xml:space="preserve"> </w:t>
      </w:r>
      <w:r w:rsidRPr="00A25545">
        <w:rPr>
          <w:lang w:val="en-GB" w:eastAsia="en-AU" w:bidi="ar-SA"/>
        </w:rPr>
        <w:t>maternal toxicity of DRM was 600 mg/kg</w:t>
      </w:r>
      <w:r w:rsidR="00D902FC" w:rsidRPr="00A25545">
        <w:rPr>
          <w:lang w:val="en-GB" w:eastAsia="en-AU" w:bidi="ar-SA"/>
        </w:rPr>
        <w:t xml:space="preserve"> bw</w:t>
      </w:r>
      <w:r w:rsidRPr="00A25545">
        <w:rPr>
          <w:lang w:val="en-GB" w:eastAsia="en-AU" w:bidi="ar-SA"/>
        </w:rPr>
        <w:t>/day, and the NOEL for developmental toxicity was 1800 mg/kg</w:t>
      </w:r>
      <w:r w:rsidR="00D902FC" w:rsidRPr="00A25545">
        <w:rPr>
          <w:lang w:val="en-GB" w:eastAsia="en-AU" w:bidi="ar-SA"/>
        </w:rPr>
        <w:t xml:space="preserve"> bw</w:t>
      </w:r>
      <w:r w:rsidRPr="00A25545">
        <w:rPr>
          <w:lang w:val="en-GB" w:eastAsia="en-AU" w:bidi="ar-SA"/>
        </w:rPr>
        <w:t xml:space="preserve">/day, in New Zealand </w:t>
      </w:r>
      <w:r w:rsidR="00253B8B" w:rsidRPr="00A25545">
        <w:rPr>
          <w:lang w:val="en-GB" w:eastAsia="en-AU" w:bidi="ar-SA"/>
        </w:rPr>
        <w:t>w</w:t>
      </w:r>
      <w:r w:rsidRPr="00A25545">
        <w:rPr>
          <w:lang w:val="en-GB" w:eastAsia="en-AU" w:bidi="ar-SA"/>
        </w:rPr>
        <w:t>hite rabbits.</w:t>
      </w:r>
      <w:r w:rsidR="00BE3399">
        <w:rPr>
          <w:lang w:val="en-GB" w:eastAsia="en-AU" w:bidi="ar-SA"/>
        </w:rPr>
        <w:br w:type="page"/>
      </w:r>
    </w:p>
    <w:p w14:paraId="79F1E5E6" w14:textId="567363AD" w:rsidR="00303EC3" w:rsidRPr="00A25545" w:rsidRDefault="00FA544E" w:rsidP="00FE490D">
      <w:pPr>
        <w:pStyle w:val="Heading3"/>
        <w:rPr>
          <w:lang w:val="en-GB"/>
        </w:rPr>
      </w:pPr>
      <w:bookmarkStart w:id="48" w:name="_Toc464129783"/>
      <w:r w:rsidRPr="00A25545">
        <w:rPr>
          <w:lang w:val="en-GB"/>
        </w:rPr>
        <w:lastRenderedPageBreak/>
        <w:t>3.</w:t>
      </w:r>
      <w:r w:rsidR="00571148">
        <w:rPr>
          <w:lang w:val="en-GB"/>
        </w:rPr>
        <w:t>4</w:t>
      </w:r>
      <w:r w:rsidRPr="00A25545">
        <w:rPr>
          <w:lang w:val="en-GB"/>
        </w:rPr>
        <w:t>.2</w:t>
      </w:r>
      <w:r w:rsidRPr="00A25545">
        <w:rPr>
          <w:lang w:val="en-GB"/>
        </w:rPr>
        <w:tab/>
      </w:r>
      <w:r w:rsidR="00303EC3" w:rsidRPr="00A25545">
        <w:rPr>
          <w:lang w:val="en-GB"/>
        </w:rPr>
        <w:t>DHA-B, aqueous extraction</w:t>
      </w:r>
      <w:bookmarkEnd w:id="48"/>
    </w:p>
    <w:p w14:paraId="500DB3EC" w14:textId="77777777" w:rsidR="00303EC3" w:rsidRPr="00A25545" w:rsidRDefault="00303EC3" w:rsidP="00A25545">
      <w:pPr>
        <w:pStyle w:val="Heading4"/>
        <w:rPr>
          <w:i w:val="0"/>
          <w:lang w:val="en-GB"/>
        </w:rPr>
      </w:pPr>
      <w:r w:rsidRPr="00A25545">
        <w:rPr>
          <w:lang w:val="en-GB"/>
        </w:rPr>
        <w:t>90-day dietary study in rats, including prenatal phase (Bauter 2013)</w:t>
      </w:r>
    </w:p>
    <w:p w14:paraId="27DEE8E8" w14:textId="5B2DF3A4" w:rsidR="00303EC3" w:rsidRPr="00A25545" w:rsidRDefault="00303EC3" w:rsidP="00303EC3">
      <w:pPr>
        <w:rPr>
          <w:rFonts w:cs="Arial"/>
          <w:szCs w:val="22"/>
          <w:lang w:val="en-GB"/>
        </w:rPr>
      </w:pPr>
      <w:r w:rsidRPr="00A25545">
        <w:rPr>
          <w:rFonts w:cs="Arial"/>
          <w:szCs w:val="22"/>
          <w:lang w:val="en-GB"/>
        </w:rPr>
        <w:t xml:space="preserve">Dietary exposure to </w:t>
      </w:r>
      <w:r w:rsidR="00FD7080" w:rsidRPr="00A25545">
        <w:rPr>
          <w:rFonts w:cs="Arial"/>
          <w:szCs w:val="22"/>
          <w:lang w:val="en-GB"/>
        </w:rPr>
        <w:t>DHA-B</w:t>
      </w:r>
      <w:r w:rsidRPr="00A25545">
        <w:rPr>
          <w:rFonts w:cs="Arial"/>
          <w:szCs w:val="22"/>
          <w:lang w:val="en-GB"/>
        </w:rPr>
        <w:t xml:space="preserve"> commenced prior to mating of the parental generation in this study in Sprague-Dawley rats. There were five parental groups, comprising 13 males and 26 females in each group. Dietary levels of </w:t>
      </w:r>
      <w:r w:rsidR="00FD7080" w:rsidRPr="00A25545">
        <w:rPr>
          <w:rFonts w:cs="Arial"/>
          <w:szCs w:val="22"/>
          <w:lang w:val="en-GB"/>
        </w:rPr>
        <w:t>DHA-B</w:t>
      </w:r>
      <w:r w:rsidRPr="00A25545">
        <w:rPr>
          <w:rFonts w:cs="Arial"/>
          <w:szCs w:val="22"/>
          <w:lang w:val="en-GB"/>
        </w:rPr>
        <w:t xml:space="preserve"> were</w:t>
      </w:r>
      <w:r w:rsidR="00F10110" w:rsidRPr="00A25545">
        <w:rPr>
          <w:rFonts w:cs="Arial"/>
          <w:szCs w:val="22"/>
          <w:lang w:val="en-GB"/>
        </w:rPr>
        <w:t>:</w:t>
      </w:r>
      <w:r w:rsidRPr="00A25545">
        <w:rPr>
          <w:rFonts w:cs="Arial"/>
          <w:szCs w:val="22"/>
          <w:lang w:val="en-GB"/>
        </w:rPr>
        <w:t xml:space="preserve"> 0 (control group), 10,000 ppm, 30,000 ppm, and 50,000 ppm. An additional group was fed diet containing 50,000 ppm tuna oil. Adequate stability and homogeneity of the </w:t>
      </w:r>
      <w:r w:rsidR="00FD7080" w:rsidRPr="00A25545">
        <w:rPr>
          <w:rFonts w:cs="Arial"/>
          <w:szCs w:val="22"/>
          <w:lang w:val="en-GB"/>
        </w:rPr>
        <w:t>DHA-B</w:t>
      </w:r>
      <w:r w:rsidRPr="00A25545">
        <w:rPr>
          <w:rFonts w:cs="Arial"/>
          <w:szCs w:val="22"/>
          <w:lang w:val="en-GB"/>
        </w:rPr>
        <w:t xml:space="preserve"> and tuna oil were confirmed during the study. Rats of both sexes were fed </w:t>
      </w:r>
      <w:r w:rsidRPr="00A25545">
        <w:rPr>
          <w:rFonts w:cs="Arial"/>
          <w:i/>
          <w:szCs w:val="22"/>
          <w:lang w:val="en-GB"/>
        </w:rPr>
        <w:t>ad libitum</w:t>
      </w:r>
      <w:r w:rsidRPr="00A25545">
        <w:rPr>
          <w:rFonts w:cs="Arial"/>
          <w:szCs w:val="22"/>
          <w:lang w:val="en-GB"/>
        </w:rPr>
        <w:t xml:space="preserve"> from four weeks prior to mating, through the mating period and through the pregnancies and lactations of the females. Two hundred of the resulting pups (100/sex) were assigned </w:t>
      </w:r>
      <w:r w:rsidR="00D902FC" w:rsidRPr="00A25545">
        <w:rPr>
          <w:rFonts w:cs="Arial"/>
          <w:szCs w:val="22"/>
          <w:lang w:val="en-GB"/>
        </w:rPr>
        <w:t xml:space="preserve">to </w:t>
      </w:r>
      <w:r w:rsidRPr="00A25545">
        <w:rPr>
          <w:rFonts w:cs="Arial"/>
          <w:szCs w:val="22"/>
          <w:lang w:val="en-GB"/>
        </w:rPr>
        <w:t xml:space="preserve">one of the five dietary groups (20/sex/group) for the 90-day subchronic study, which commenced approximately 22 days after </w:t>
      </w:r>
      <w:r w:rsidR="000D3C9A" w:rsidRPr="00A25545">
        <w:rPr>
          <w:rFonts w:cs="Arial"/>
          <w:szCs w:val="22"/>
          <w:lang w:val="en-GB"/>
        </w:rPr>
        <w:t>birth. Weaned</w:t>
      </w:r>
      <w:r w:rsidRPr="00A25545">
        <w:rPr>
          <w:rFonts w:cs="Arial"/>
          <w:szCs w:val="22"/>
          <w:lang w:val="en-GB"/>
        </w:rPr>
        <w:t xml:space="preserve"> offspring consumed the same diet as their dam.</w:t>
      </w:r>
    </w:p>
    <w:p w14:paraId="2D99C59A" w14:textId="77777777" w:rsidR="00303EC3" w:rsidRPr="00A25545" w:rsidRDefault="00303EC3" w:rsidP="00303EC3">
      <w:pPr>
        <w:rPr>
          <w:rFonts w:cs="Arial"/>
          <w:szCs w:val="22"/>
          <w:lang w:val="en-GB"/>
        </w:rPr>
      </w:pPr>
    </w:p>
    <w:p w14:paraId="7F3E7D0F" w14:textId="2032B268" w:rsidR="00303EC3" w:rsidRPr="00A25545" w:rsidRDefault="00303EC3" w:rsidP="00303EC3">
      <w:pPr>
        <w:rPr>
          <w:rFonts w:cs="Arial"/>
          <w:szCs w:val="22"/>
          <w:lang w:val="en-GB"/>
        </w:rPr>
      </w:pPr>
      <w:r w:rsidRPr="00A25545">
        <w:rPr>
          <w:rFonts w:cs="Arial"/>
          <w:szCs w:val="22"/>
          <w:lang w:val="en-GB"/>
        </w:rPr>
        <w:t>Endpoints determined in both sexes in the F0 generation were survival, clinical signs, body weights and body weight changes, and food consumption. Fertility and reproductive performance parameters included mean pre-coital length and fertility indices and, in females, pre-mating and post-weaning oestrus cycles, mean gestation length, gestation index, mean number of implantation sites, corpora lutea, pre-implantation loss percentage, post-implantation loss percentage, live birth percentage, stillborn index, viability index, litter size, birth weight and male:female pup ratio.</w:t>
      </w:r>
    </w:p>
    <w:p w14:paraId="1B5099AB" w14:textId="77777777" w:rsidR="00303EC3" w:rsidRPr="00A25545" w:rsidRDefault="00303EC3" w:rsidP="00303EC3">
      <w:pPr>
        <w:rPr>
          <w:rFonts w:cs="Arial"/>
          <w:szCs w:val="22"/>
          <w:lang w:val="en-GB"/>
        </w:rPr>
      </w:pPr>
    </w:p>
    <w:p w14:paraId="7E23FA47" w14:textId="011D9195" w:rsidR="00303EC3" w:rsidRPr="00A25545" w:rsidRDefault="00303EC3" w:rsidP="002B7BC0">
      <w:pPr>
        <w:keepNext/>
        <w:keepLines/>
        <w:rPr>
          <w:rFonts w:cs="Arial"/>
          <w:szCs w:val="22"/>
          <w:lang w:val="en-GB"/>
        </w:rPr>
      </w:pPr>
      <w:r w:rsidRPr="00A25545">
        <w:rPr>
          <w:rFonts w:cs="Arial"/>
          <w:szCs w:val="22"/>
          <w:lang w:val="en-GB"/>
        </w:rPr>
        <w:t xml:space="preserve">Survival, bodyweights </w:t>
      </w:r>
      <w:r w:rsidR="00D902FC" w:rsidRPr="00A25545">
        <w:rPr>
          <w:rFonts w:cs="Arial"/>
          <w:szCs w:val="22"/>
          <w:lang w:val="en-GB"/>
        </w:rPr>
        <w:t xml:space="preserve">and time </w:t>
      </w:r>
      <w:r w:rsidRPr="00A25545">
        <w:rPr>
          <w:rFonts w:cs="Arial"/>
          <w:szCs w:val="22"/>
          <w:lang w:val="en-GB"/>
        </w:rPr>
        <w:t xml:space="preserve">to developmental indices and sexual maturity of the F1 generation were comparable across all groups. From PND 14 through to weaning, group mean bodyweight gain of pups in the tuna oil group and the 50,000 ppm </w:t>
      </w:r>
      <w:r w:rsidR="00FD7080" w:rsidRPr="00A25545">
        <w:rPr>
          <w:rFonts w:cs="Arial"/>
          <w:szCs w:val="22"/>
          <w:lang w:val="en-GB"/>
        </w:rPr>
        <w:t>DHA-B</w:t>
      </w:r>
      <w:r w:rsidRPr="00A25545">
        <w:rPr>
          <w:rFonts w:cs="Arial"/>
          <w:szCs w:val="22"/>
          <w:lang w:val="en-GB"/>
        </w:rPr>
        <w:t xml:space="preserve"> group were significantly lower than that of pups in the control group, and all treated groups had significantly lower group mean bodyweight gains than the control group pups from PND 22. These reductions were attributed to increased caloric load from the high</w:t>
      </w:r>
      <w:r w:rsidR="00C37AF8" w:rsidRPr="00A25545">
        <w:rPr>
          <w:rFonts w:cs="Arial"/>
          <w:szCs w:val="22"/>
          <w:lang w:val="en-GB"/>
        </w:rPr>
        <w:t xml:space="preserve"> </w:t>
      </w:r>
      <w:r w:rsidRPr="00A25545">
        <w:rPr>
          <w:rFonts w:cs="Arial"/>
          <w:szCs w:val="22"/>
          <w:lang w:val="en-GB"/>
        </w:rPr>
        <w:t>fat diets, and were not considered to be adverse because the pups gained weight within the appropriate range for their age.</w:t>
      </w:r>
    </w:p>
    <w:p w14:paraId="454568BC" w14:textId="77777777" w:rsidR="00303EC3" w:rsidRPr="00A25545" w:rsidRDefault="00303EC3" w:rsidP="00303EC3">
      <w:pPr>
        <w:rPr>
          <w:rFonts w:cs="Arial"/>
          <w:szCs w:val="22"/>
          <w:lang w:val="en-GB"/>
        </w:rPr>
      </w:pPr>
    </w:p>
    <w:p w14:paraId="12CFC034" w14:textId="5CEB935A" w:rsidR="00303EC3" w:rsidRPr="00A25545" w:rsidRDefault="00303EC3" w:rsidP="00303EC3">
      <w:pPr>
        <w:rPr>
          <w:rFonts w:cs="Arial"/>
          <w:szCs w:val="22"/>
          <w:lang w:val="en-GB"/>
        </w:rPr>
      </w:pPr>
      <w:r w:rsidRPr="00A25545">
        <w:rPr>
          <w:rFonts w:cs="Arial"/>
          <w:szCs w:val="22"/>
          <w:lang w:val="en-GB"/>
        </w:rPr>
        <w:t>Litters were culled on PNDs 4 and 22 and the culled pups were examined for gross abnormalities. No treatment-related abnormalities were found. Non</w:t>
      </w:r>
      <w:r w:rsidR="002B7BC0" w:rsidRPr="00A25545">
        <w:rPr>
          <w:rFonts w:cs="Arial"/>
          <w:szCs w:val="22"/>
          <w:lang w:val="en-GB"/>
        </w:rPr>
        <w:t>-</w:t>
      </w:r>
      <w:r w:rsidRPr="00A25545">
        <w:rPr>
          <w:rFonts w:cs="Arial"/>
          <w:szCs w:val="22"/>
          <w:lang w:val="en-GB"/>
        </w:rPr>
        <w:t>pregnant females of the F0 generation were culled 25 days after mating, and sires and dams after weaning on PND 22. No treatment-related effects were found on gross necropsies of F0 rats.</w:t>
      </w:r>
    </w:p>
    <w:p w14:paraId="470D3E71" w14:textId="77777777" w:rsidR="00303EC3" w:rsidRPr="00A25545" w:rsidRDefault="00303EC3" w:rsidP="00303EC3">
      <w:pPr>
        <w:rPr>
          <w:rFonts w:cs="Arial"/>
          <w:szCs w:val="22"/>
          <w:lang w:val="en-GB"/>
        </w:rPr>
      </w:pPr>
    </w:p>
    <w:p w14:paraId="62214DB0" w14:textId="7FF099D4" w:rsidR="00303EC3" w:rsidRPr="00A25545" w:rsidRDefault="00303EC3" w:rsidP="00303EC3">
      <w:pPr>
        <w:rPr>
          <w:rFonts w:cs="Arial"/>
          <w:szCs w:val="22"/>
          <w:lang w:val="en-GB"/>
        </w:rPr>
      </w:pPr>
      <w:r w:rsidRPr="00A25545">
        <w:rPr>
          <w:rFonts w:cs="Arial"/>
          <w:szCs w:val="22"/>
          <w:lang w:val="en-GB"/>
        </w:rPr>
        <w:t>Endpoints determined in the 90-day dietary study were survival, clinical observations, ophthalmology, body weights and bodyweight changes, food consumption, food efficiency, motor activity and functional observational battery, clinical pathology (haematology, clinical chemistry, blood clotting, urinalysis, gross necropsy findings, selected organ weights, and histopathology</w:t>
      </w:r>
      <w:r w:rsidR="00AD3F42" w:rsidRPr="00A25545">
        <w:rPr>
          <w:rFonts w:cs="Arial"/>
          <w:szCs w:val="22"/>
          <w:lang w:val="en-GB"/>
        </w:rPr>
        <w:t>)</w:t>
      </w:r>
      <w:r w:rsidRPr="00A25545">
        <w:rPr>
          <w:rFonts w:cs="Arial"/>
          <w:szCs w:val="22"/>
          <w:lang w:val="en-GB"/>
        </w:rPr>
        <w:t>.</w:t>
      </w:r>
    </w:p>
    <w:p w14:paraId="32AE5492" w14:textId="77777777" w:rsidR="00303EC3" w:rsidRPr="00A25545" w:rsidRDefault="00303EC3" w:rsidP="00303EC3">
      <w:pPr>
        <w:rPr>
          <w:rFonts w:cs="Arial"/>
          <w:szCs w:val="22"/>
          <w:lang w:val="en-GB"/>
        </w:rPr>
      </w:pPr>
    </w:p>
    <w:p w14:paraId="64EF33A3" w14:textId="3FE34495" w:rsidR="00303EC3" w:rsidRPr="00A25545" w:rsidRDefault="00303EC3" w:rsidP="00303EC3">
      <w:pPr>
        <w:rPr>
          <w:rFonts w:cs="Arial"/>
          <w:szCs w:val="22"/>
          <w:lang w:val="en-GB"/>
        </w:rPr>
      </w:pPr>
      <w:r w:rsidRPr="00A25545">
        <w:rPr>
          <w:rFonts w:cs="Arial"/>
          <w:szCs w:val="22"/>
          <w:lang w:val="en-GB"/>
        </w:rPr>
        <w:t xml:space="preserve">Both the 50,000 ppm </w:t>
      </w:r>
      <w:r w:rsidR="00FD7080" w:rsidRPr="00A25545">
        <w:rPr>
          <w:rFonts w:cs="Arial"/>
          <w:szCs w:val="22"/>
          <w:lang w:val="en-GB"/>
        </w:rPr>
        <w:t>DHA-B</w:t>
      </w:r>
      <w:r w:rsidRPr="00A25545">
        <w:rPr>
          <w:rFonts w:cs="Arial"/>
          <w:szCs w:val="22"/>
          <w:lang w:val="en-GB"/>
        </w:rPr>
        <w:t xml:space="preserve"> males and the tuna oil males showed an increased incidence of slight to moderate cytoplasmic vacuolation of cortical cells in the adrenal zona </w:t>
      </w:r>
      <w:r w:rsidR="000D3C9A" w:rsidRPr="00A25545">
        <w:rPr>
          <w:rFonts w:cs="Arial"/>
          <w:szCs w:val="22"/>
          <w:lang w:val="en-GB"/>
        </w:rPr>
        <w:t>fasciculata</w:t>
      </w:r>
      <w:r w:rsidRPr="00A25545">
        <w:rPr>
          <w:rFonts w:cs="Arial"/>
          <w:szCs w:val="22"/>
          <w:lang w:val="en-GB"/>
        </w:rPr>
        <w:t>. This change was considered to be attributable to the high-fat diet and</w:t>
      </w:r>
      <w:r w:rsidR="0017229A" w:rsidRPr="00A25545">
        <w:rPr>
          <w:rFonts w:cs="Arial"/>
          <w:szCs w:val="22"/>
          <w:lang w:val="en-GB"/>
        </w:rPr>
        <w:t xml:space="preserve"> not</w:t>
      </w:r>
      <w:r w:rsidRPr="00A25545">
        <w:rPr>
          <w:rFonts w:cs="Arial"/>
          <w:szCs w:val="22"/>
          <w:lang w:val="en-GB"/>
        </w:rPr>
        <w:t xml:space="preserve"> to be</w:t>
      </w:r>
      <w:r w:rsidR="00297A02" w:rsidRPr="00A25545">
        <w:rPr>
          <w:rFonts w:cs="Arial"/>
          <w:szCs w:val="22"/>
          <w:lang w:val="en-GB"/>
        </w:rPr>
        <w:t xml:space="preserve"> an adverse finding.</w:t>
      </w:r>
    </w:p>
    <w:p w14:paraId="479CE2CF" w14:textId="77777777" w:rsidR="00303EC3" w:rsidRPr="00A25545" w:rsidRDefault="00303EC3" w:rsidP="00303EC3">
      <w:pPr>
        <w:rPr>
          <w:rFonts w:cs="Arial"/>
          <w:szCs w:val="22"/>
          <w:lang w:val="en-GB"/>
        </w:rPr>
      </w:pPr>
    </w:p>
    <w:p w14:paraId="68B5FCEF" w14:textId="49730157" w:rsidR="00303EC3" w:rsidRPr="00A25545" w:rsidRDefault="00303EC3" w:rsidP="00303EC3">
      <w:pPr>
        <w:rPr>
          <w:rFonts w:cs="Arial"/>
          <w:szCs w:val="22"/>
          <w:lang w:val="en-GB"/>
        </w:rPr>
      </w:pPr>
      <w:r w:rsidRPr="00A25545">
        <w:rPr>
          <w:rFonts w:cs="Arial"/>
          <w:szCs w:val="22"/>
          <w:lang w:val="en-GB"/>
        </w:rPr>
        <w:t xml:space="preserve">Slightly increased incidence of minimal to moderate granulomatous infiltrate in retroperitoneal fat of 50,000 ppm </w:t>
      </w:r>
      <w:r w:rsidR="00FD7080" w:rsidRPr="00A25545">
        <w:rPr>
          <w:rFonts w:cs="Arial"/>
          <w:szCs w:val="22"/>
          <w:lang w:val="en-GB"/>
        </w:rPr>
        <w:t>DHA-B</w:t>
      </w:r>
      <w:r w:rsidRPr="00A25545">
        <w:rPr>
          <w:rFonts w:cs="Arial"/>
          <w:szCs w:val="22"/>
          <w:lang w:val="en-GB"/>
        </w:rPr>
        <w:t xml:space="preserve"> males, and mammary fat of 50,000 ppm </w:t>
      </w:r>
      <w:r w:rsidR="00FD7080" w:rsidRPr="00A25545">
        <w:rPr>
          <w:rFonts w:cs="Arial"/>
          <w:szCs w:val="22"/>
          <w:lang w:val="en-GB"/>
        </w:rPr>
        <w:t>DHA-B</w:t>
      </w:r>
      <w:r w:rsidRPr="00A25545">
        <w:rPr>
          <w:rFonts w:cs="Arial"/>
          <w:szCs w:val="22"/>
          <w:lang w:val="en-GB"/>
        </w:rPr>
        <w:t xml:space="preserve"> rats of both sexes, was considered to be possibly related to </w:t>
      </w:r>
      <w:r w:rsidR="00FD7080" w:rsidRPr="00A25545">
        <w:rPr>
          <w:rFonts w:cs="Arial"/>
          <w:szCs w:val="22"/>
          <w:lang w:val="en-GB"/>
        </w:rPr>
        <w:t>DHA-B</w:t>
      </w:r>
      <w:r w:rsidRPr="00A25545">
        <w:rPr>
          <w:rFonts w:cs="Arial"/>
          <w:szCs w:val="22"/>
          <w:lang w:val="en-GB"/>
        </w:rPr>
        <w:t xml:space="preserve"> consumption. This finding was considered to be non-adverse.</w:t>
      </w:r>
    </w:p>
    <w:p w14:paraId="28B53F95" w14:textId="77777777" w:rsidR="00303EC3" w:rsidRPr="00A25545" w:rsidRDefault="00303EC3" w:rsidP="00303EC3">
      <w:pPr>
        <w:rPr>
          <w:rFonts w:cs="Arial"/>
          <w:szCs w:val="22"/>
          <w:lang w:val="en-GB"/>
        </w:rPr>
      </w:pPr>
    </w:p>
    <w:p w14:paraId="73093356" w14:textId="67E81C7F" w:rsidR="00BE3399" w:rsidRDefault="00303EC3" w:rsidP="00303EC3">
      <w:pPr>
        <w:rPr>
          <w:rFonts w:cs="Arial"/>
          <w:szCs w:val="22"/>
          <w:lang w:val="en-GB"/>
        </w:rPr>
      </w:pPr>
      <w:r w:rsidRPr="00A25545">
        <w:rPr>
          <w:rFonts w:cs="Arial"/>
          <w:szCs w:val="22"/>
          <w:lang w:val="en-GB"/>
        </w:rPr>
        <w:t xml:space="preserve">It was concluded that the NOEL for dietary </w:t>
      </w:r>
      <w:r w:rsidR="00FD7080" w:rsidRPr="00A25545">
        <w:rPr>
          <w:rFonts w:cs="Arial"/>
          <w:szCs w:val="22"/>
          <w:lang w:val="en-GB"/>
        </w:rPr>
        <w:t>DHA-B</w:t>
      </w:r>
      <w:r w:rsidRPr="00A25545">
        <w:rPr>
          <w:rFonts w:cs="Arial"/>
          <w:szCs w:val="22"/>
          <w:lang w:val="en-GB"/>
        </w:rPr>
        <w:t xml:space="preserve"> in rats was 50,000 ppm, which was equivalent to 3278.9 mg/kg</w:t>
      </w:r>
      <w:r w:rsidR="0017229A" w:rsidRPr="00A25545">
        <w:rPr>
          <w:rFonts w:cs="Arial"/>
          <w:szCs w:val="22"/>
          <w:lang w:val="en-GB"/>
        </w:rPr>
        <w:t xml:space="preserve"> bw</w:t>
      </w:r>
      <w:r w:rsidRPr="00A25545">
        <w:rPr>
          <w:rFonts w:cs="Arial"/>
          <w:szCs w:val="22"/>
          <w:lang w:val="en-GB"/>
        </w:rPr>
        <w:t>/d</w:t>
      </w:r>
      <w:r w:rsidR="0017229A" w:rsidRPr="00A25545">
        <w:rPr>
          <w:rFonts w:cs="Arial"/>
          <w:szCs w:val="22"/>
          <w:lang w:val="en-GB"/>
        </w:rPr>
        <w:t>ay</w:t>
      </w:r>
      <w:r w:rsidRPr="00A25545">
        <w:rPr>
          <w:rFonts w:cs="Arial"/>
          <w:szCs w:val="22"/>
          <w:lang w:val="en-GB"/>
        </w:rPr>
        <w:t xml:space="preserve"> for males and 3788.4 mg/kg/day in females.</w:t>
      </w:r>
      <w:r w:rsidR="00BE3399">
        <w:rPr>
          <w:rFonts w:cs="Arial"/>
          <w:szCs w:val="22"/>
          <w:lang w:val="en-GB"/>
        </w:rPr>
        <w:br w:type="page"/>
      </w:r>
    </w:p>
    <w:p w14:paraId="4303650D" w14:textId="77777777" w:rsidR="00303EC3" w:rsidRPr="00A25545" w:rsidRDefault="00303EC3" w:rsidP="00A25545">
      <w:pPr>
        <w:pStyle w:val="Heading4"/>
        <w:rPr>
          <w:i w:val="0"/>
          <w:lang w:val="en-GB"/>
        </w:rPr>
      </w:pPr>
      <w:r w:rsidRPr="00A25545">
        <w:rPr>
          <w:lang w:val="en-GB"/>
        </w:rPr>
        <w:lastRenderedPageBreak/>
        <w:t>Bioequivalence study in piglets (Federova-Dahms et al., 2014)</w:t>
      </w:r>
    </w:p>
    <w:p w14:paraId="1A5C6221" w14:textId="4FB4CA72" w:rsidR="00303EC3" w:rsidRPr="00A25545" w:rsidRDefault="00303EC3" w:rsidP="00303EC3">
      <w:pPr>
        <w:rPr>
          <w:rFonts w:cs="Arial"/>
          <w:szCs w:val="22"/>
          <w:lang w:val="en-GB"/>
        </w:rPr>
      </w:pPr>
      <w:r w:rsidRPr="00A25545">
        <w:rPr>
          <w:rFonts w:cs="Arial"/>
          <w:szCs w:val="22"/>
          <w:lang w:val="en-GB"/>
        </w:rPr>
        <w:t xml:space="preserve">The purpose of this 3-week study was to evaluate the bioequivalence of </w:t>
      </w:r>
      <w:r w:rsidR="00FD7080" w:rsidRPr="00A25545">
        <w:rPr>
          <w:rFonts w:cs="Arial"/>
          <w:szCs w:val="22"/>
          <w:lang w:val="en-GB"/>
        </w:rPr>
        <w:t>DHA-B</w:t>
      </w:r>
      <w:r w:rsidRPr="00A25545">
        <w:rPr>
          <w:rFonts w:cs="Arial"/>
          <w:szCs w:val="22"/>
          <w:lang w:val="en-GB"/>
        </w:rPr>
        <w:t xml:space="preserve"> to DHASCO®. Piglets were received into the laboratory on Lactation Day (LD) 2, and experimental diets were provided from the day of arrival, designated Study Day (SD) 1. Piglets were randomised into five groups, with 5 piglets/sex/group. The control group was fed milk replacer with no LC-PUFA added in the laboratory, although the milk replacer contained 0.21% arachidonic acid (ARA). There were four treatment groups, representing two different concentrations of either </w:t>
      </w:r>
      <w:r w:rsidR="00FD7080" w:rsidRPr="00A25545">
        <w:rPr>
          <w:rFonts w:cs="Arial"/>
          <w:szCs w:val="22"/>
          <w:lang w:val="en-GB"/>
        </w:rPr>
        <w:t>DHA-B</w:t>
      </w:r>
      <w:r w:rsidRPr="00A25545">
        <w:rPr>
          <w:rFonts w:cs="Arial"/>
          <w:szCs w:val="22"/>
          <w:lang w:val="en-GB"/>
        </w:rPr>
        <w:t xml:space="preserve"> to DHASCO, so that DHA from micro</w:t>
      </w:r>
      <w:r w:rsidR="0045057C" w:rsidRPr="00A25545">
        <w:rPr>
          <w:rFonts w:cs="Arial"/>
          <w:szCs w:val="22"/>
          <w:lang w:val="en-GB"/>
        </w:rPr>
        <w:t>-</w:t>
      </w:r>
      <w:r w:rsidRPr="00A25545">
        <w:rPr>
          <w:rFonts w:cs="Arial"/>
          <w:szCs w:val="22"/>
          <w:lang w:val="en-GB"/>
        </w:rPr>
        <w:t xml:space="preserve">algae represented 0.32% or 0.96% of total fatty acids by weight. Arachidonic acid (ARA) was added to the diets of treated pigs so that the final percentage of total fatty acid that was ARA was twice the percentage that was DHA; </w:t>
      </w:r>
      <w:r w:rsidR="00C94E0D" w:rsidRPr="00A25545">
        <w:rPr>
          <w:rFonts w:cs="Arial"/>
          <w:szCs w:val="22"/>
          <w:lang w:val="en-GB"/>
        </w:rPr>
        <w:t>that is</w:t>
      </w:r>
      <w:r w:rsidRPr="00A25545">
        <w:rPr>
          <w:rFonts w:cs="Arial"/>
          <w:szCs w:val="22"/>
          <w:lang w:val="en-GB"/>
        </w:rPr>
        <w:t xml:space="preserve"> 0.64% or 1.92%. Diets were prepared fresh daily and piglets were fed 500 mL/kg </w:t>
      </w:r>
      <w:r w:rsidR="0017229A" w:rsidRPr="00A25545">
        <w:rPr>
          <w:rFonts w:cs="Arial"/>
          <w:szCs w:val="22"/>
          <w:lang w:val="en-GB"/>
        </w:rPr>
        <w:t>bw</w:t>
      </w:r>
      <w:r w:rsidRPr="00A25545">
        <w:rPr>
          <w:rFonts w:cs="Arial"/>
          <w:szCs w:val="22"/>
          <w:lang w:val="en-GB"/>
        </w:rPr>
        <w:t>/day. Endpoints assessed during the in-life phase were survival, morbidity, clinical signs, bodyweights and bodyweight gains, and food efficiency. Blood samples were collected on SD 21 prior to necropsy for haematology and clinical chemistry, and urine was collected by cystocentesis during necropsy for urinalysis. Gross necropsies were performed on all piglets</w:t>
      </w:r>
      <w:r w:rsidR="00413628" w:rsidRPr="00A25545">
        <w:rPr>
          <w:rFonts w:cs="Arial"/>
          <w:szCs w:val="22"/>
          <w:lang w:val="en-GB"/>
        </w:rPr>
        <w:t xml:space="preserve">. </w:t>
      </w:r>
      <w:r w:rsidRPr="00A25545">
        <w:rPr>
          <w:rFonts w:cs="Arial"/>
          <w:szCs w:val="22"/>
          <w:lang w:val="en-GB"/>
        </w:rPr>
        <w:t>Organ weights were collected for brain, heart, liver, spleen, thymus, adrenal glands, kidneys, ovaries, testes, large intestine and small intestine. The same organs were subject to histopathological examination. Fatty acid analysis was performed on plasma, erythrocytes, cerebral cortex, liver and heart samples.</w:t>
      </w:r>
    </w:p>
    <w:p w14:paraId="652D3B1E" w14:textId="77777777" w:rsidR="00303EC3" w:rsidRPr="00A25545" w:rsidRDefault="00303EC3" w:rsidP="00303EC3">
      <w:pPr>
        <w:rPr>
          <w:rFonts w:cs="Arial"/>
          <w:szCs w:val="22"/>
          <w:lang w:val="en-GB"/>
        </w:rPr>
      </w:pPr>
    </w:p>
    <w:p w14:paraId="1341D168" w14:textId="42D66E55" w:rsidR="00303EC3" w:rsidRPr="00A25545" w:rsidRDefault="00303EC3" w:rsidP="00303EC3">
      <w:pPr>
        <w:rPr>
          <w:rFonts w:cs="Arial"/>
          <w:szCs w:val="22"/>
          <w:lang w:val="en-GB"/>
        </w:rPr>
      </w:pPr>
      <w:r w:rsidRPr="00A25545">
        <w:rPr>
          <w:rFonts w:cs="Arial"/>
          <w:szCs w:val="22"/>
          <w:lang w:val="en-GB"/>
        </w:rPr>
        <w:t xml:space="preserve">All piglets survived to scheduled termination and there were no adverse in-life effects. There were no significant differences in bodyweights or bodyweight gains, mean food consumption or feed efficiency. Quantities of DHA consumed were close to target, and there were no differences in DHA consumption between piglets fed </w:t>
      </w:r>
      <w:r w:rsidR="00FD7080" w:rsidRPr="00A25545">
        <w:rPr>
          <w:rFonts w:cs="Arial"/>
          <w:szCs w:val="22"/>
          <w:lang w:val="en-GB"/>
        </w:rPr>
        <w:t>DHA-B</w:t>
      </w:r>
      <w:r w:rsidRPr="00A25545">
        <w:rPr>
          <w:rFonts w:cs="Arial"/>
          <w:szCs w:val="22"/>
          <w:lang w:val="en-GB"/>
        </w:rPr>
        <w:t xml:space="preserve"> and piglets fed the corresponding amount of DHASCO</w:t>
      </w:r>
      <w:r w:rsidRPr="00A25545">
        <w:rPr>
          <w:rFonts w:cs="Arial"/>
          <w:szCs w:val="22"/>
          <w:vertAlign w:val="superscript"/>
          <w:lang w:val="en-GB"/>
        </w:rPr>
        <w:t>®</w:t>
      </w:r>
      <w:r w:rsidRPr="00A25545">
        <w:rPr>
          <w:rFonts w:cs="Arial"/>
          <w:szCs w:val="22"/>
          <w:lang w:val="en-GB"/>
        </w:rPr>
        <w:t xml:space="preserve">. There were no test article-related effects on haematology, clinical chemistry, urinalysis, gross necropsy findings or histopathology findings. Small increases in group mean liver to bodyweight ratios, relative to that of controls, in males in three of the four treated groups were not dose-dependent, had no histological correlates, remained with normal historical control range and were not considered to be toxicologically significant. Addition of DHA in the diet resulted in dose-dependent increases in DHA in plasma, erythrocytes, liver, heart and cerebral cortex, but there </w:t>
      </w:r>
      <w:r w:rsidR="0017229A" w:rsidRPr="00A25545">
        <w:rPr>
          <w:rFonts w:cs="Arial"/>
          <w:szCs w:val="22"/>
          <w:lang w:val="en-GB"/>
        </w:rPr>
        <w:t xml:space="preserve">was </w:t>
      </w:r>
      <w:r w:rsidRPr="00A25545">
        <w:rPr>
          <w:rFonts w:cs="Arial"/>
          <w:szCs w:val="22"/>
          <w:lang w:val="en-GB"/>
        </w:rPr>
        <w:t xml:space="preserve">no significant difference in these increases between </w:t>
      </w:r>
      <w:r w:rsidR="00FD7080" w:rsidRPr="00A25545">
        <w:rPr>
          <w:rFonts w:cs="Arial"/>
          <w:szCs w:val="22"/>
          <w:lang w:val="en-GB"/>
        </w:rPr>
        <w:t>DHA-B</w:t>
      </w:r>
      <w:r w:rsidRPr="00A25545">
        <w:rPr>
          <w:rFonts w:cs="Arial"/>
          <w:szCs w:val="22"/>
          <w:lang w:val="en-GB"/>
        </w:rPr>
        <w:t xml:space="preserve"> to DHASCO</w:t>
      </w:r>
      <w:r w:rsidRPr="00A25545">
        <w:rPr>
          <w:rFonts w:cs="Arial"/>
          <w:szCs w:val="22"/>
          <w:vertAlign w:val="superscript"/>
          <w:lang w:val="en-GB"/>
        </w:rPr>
        <w:t>®</w:t>
      </w:r>
      <w:r w:rsidRPr="00A25545">
        <w:rPr>
          <w:rFonts w:cs="Arial"/>
          <w:szCs w:val="22"/>
          <w:lang w:val="en-GB"/>
        </w:rPr>
        <w:t>.</w:t>
      </w:r>
    </w:p>
    <w:p w14:paraId="5F0B3EA6" w14:textId="77777777" w:rsidR="00303EC3" w:rsidRPr="00A25545" w:rsidRDefault="00303EC3" w:rsidP="00303EC3">
      <w:pPr>
        <w:rPr>
          <w:rFonts w:cs="Arial"/>
          <w:szCs w:val="22"/>
          <w:lang w:val="en-GB"/>
        </w:rPr>
      </w:pPr>
    </w:p>
    <w:p w14:paraId="4D6F452A" w14:textId="6881569B" w:rsidR="00303EC3" w:rsidRPr="00A25545" w:rsidRDefault="00303EC3" w:rsidP="00303EC3">
      <w:pPr>
        <w:rPr>
          <w:rFonts w:cs="Arial"/>
          <w:szCs w:val="22"/>
          <w:lang w:val="en-GB"/>
        </w:rPr>
      </w:pPr>
      <w:r w:rsidRPr="00A25545">
        <w:rPr>
          <w:rFonts w:cs="Arial"/>
          <w:szCs w:val="22"/>
          <w:lang w:val="en-GB"/>
        </w:rPr>
        <w:t xml:space="preserve">The two levels of DHA added to the diet were intended to provide 1 and 3 times the expected maximum intake levels for human infants consuming infant formulas. However, because piglets grow much faster than human infants and consume more formula, the calculated mean intakes of DHA from addition of </w:t>
      </w:r>
      <w:r w:rsidR="00FD7080" w:rsidRPr="00A25545">
        <w:rPr>
          <w:rFonts w:cs="Arial"/>
          <w:szCs w:val="22"/>
          <w:lang w:val="en-GB"/>
        </w:rPr>
        <w:t>DHA-B</w:t>
      </w:r>
      <w:r w:rsidRPr="00A25545">
        <w:rPr>
          <w:rFonts w:cs="Arial"/>
          <w:szCs w:val="22"/>
          <w:lang w:val="en-GB"/>
        </w:rPr>
        <w:t xml:space="preserve"> to the milk replacer were 92.2 mg/kg</w:t>
      </w:r>
      <w:r w:rsidR="0017229A" w:rsidRPr="00A25545">
        <w:rPr>
          <w:rFonts w:cs="Arial"/>
          <w:szCs w:val="22"/>
          <w:lang w:val="en-GB"/>
        </w:rPr>
        <w:t xml:space="preserve"> bw</w:t>
      </w:r>
      <w:r w:rsidRPr="00A25545">
        <w:rPr>
          <w:rFonts w:cs="Arial"/>
          <w:szCs w:val="22"/>
          <w:lang w:val="en-GB"/>
        </w:rPr>
        <w:t>/day and 294 mg/kg</w:t>
      </w:r>
      <w:r w:rsidR="0017229A" w:rsidRPr="00A25545">
        <w:rPr>
          <w:rFonts w:cs="Arial"/>
          <w:szCs w:val="22"/>
          <w:lang w:val="en-GB"/>
        </w:rPr>
        <w:t xml:space="preserve"> bw</w:t>
      </w:r>
      <w:r w:rsidRPr="00A25545">
        <w:rPr>
          <w:rFonts w:cs="Arial"/>
          <w:szCs w:val="22"/>
          <w:lang w:val="en-GB"/>
        </w:rPr>
        <w:t>/day, corresponding to 1.9 and 5.8-fold the estimated mean DHA intake of formula-fed infants</w:t>
      </w:r>
      <w:r w:rsidR="00413628" w:rsidRPr="00A25545">
        <w:rPr>
          <w:rFonts w:cs="Arial"/>
          <w:szCs w:val="22"/>
          <w:lang w:val="en-GB"/>
        </w:rPr>
        <w:t>.</w:t>
      </w:r>
    </w:p>
    <w:p w14:paraId="40BD3473" w14:textId="4287F874" w:rsidR="00303EC3" w:rsidRPr="00A25545" w:rsidRDefault="00FA544E" w:rsidP="00FE490D">
      <w:pPr>
        <w:pStyle w:val="Heading3"/>
        <w:rPr>
          <w:lang w:val="en-GB"/>
        </w:rPr>
      </w:pPr>
      <w:bookmarkStart w:id="49" w:name="_Toc464129784"/>
      <w:r w:rsidRPr="00A25545">
        <w:rPr>
          <w:rFonts w:cs="Arial"/>
          <w:lang w:val="en-GB"/>
        </w:rPr>
        <w:t>3.</w:t>
      </w:r>
      <w:r w:rsidR="00BF6C02">
        <w:rPr>
          <w:rFonts w:cs="Arial"/>
          <w:lang w:val="en-GB"/>
        </w:rPr>
        <w:t>4</w:t>
      </w:r>
      <w:r w:rsidRPr="00A25545">
        <w:rPr>
          <w:rFonts w:cs="Arial"/>
          <w:lang w:val="en-GB"/>
        </w:rPr>
        <w:t>.3</w:t>
      </w:r>
      <w:r w:rsidRPr="00A25545">
        <w:rPr>
          <w:rFonts w:cs="Arial"/>
          <w:lang w:val="en-GB"/>
        </w:rPr>
        <w:tab/>
      </w:r>
      <w:r w:rsidR="00FD7080" w:rsidRPr="00A25545">
        <w:rPr>
          <w:rFonts w:cs="Arial"/>
          <w:lang w:val="en-GB"/>
        </w:rPr>
        <w:t>DHA-B</w:t>
      </w:r>
      <w:r w:rsidR="00303EC3" w:rsidRPr="00A25545">
        <w:rPr>
          <w:lang w:val="en-GB"/>
        </w:rPr>
        <w:t>, IPA extraction</w:t>
      </w:r>
      <w:bookmarkEnd w:id="49"/>
    </w:p>
    <w:p w14:paraId="3591F19A" w14:textId="77777777" w:rsidR="00303EC3" w:rsidRPr="00A25545" w:rsidRDefault="00303EC3" w:rsidP="00A25545">
      <w:pPr>
        <w:pStyle w:val="Heading4"/>
        <w:rPr>
          <w:lang w:val="en-GB"/>
        </w:rPr>
      </w:pPr>
      <w:r w:rsidRPr="00A25545">
        <w:rPr>
          <w:lang w:val="en-GB"/>
        </w:rPr>
        <w:t>90-day dietary study in rats, including prenatal phase (Federova-Dahms et al., 2011)</w:t>
      </w:r>
    </w:p>
    <w:p w14:paraId="3F8313FF" w14:textId="2A38D783" w:rsidR="00BE3399" w:rsidRDefault="00303EC3" w:rsidP="00303EC3">
      <w:pPr>
        <w:rPr>
          <w:rFonts w:cs="Arial"/>
          <w:szCs w:val="22"/>
          <w:lang w:val="en-GB"/>
        </w:rPr>
      </w:pPr>
      <w:r w:rsidRPr="00A25545">
        <w:rPr>
          <w:rFonts w:cs="Arial"/>
          <w:szCs w:val="22"/>
          <w:lang w:val="en-GB"/>
        </w:rPr>
        <w:t xml:space="preserve">Sprague-Dawley rats, 9 to 10 weeks old at study start, were randomised into five groups, each group comprising 13 males and 26 females. Rats were housed under standard laboratory conditions. There were two control groups; a group fed the basal low-fat diet and a group fed the basal diet supplemented with 5% w/w concentrated fish oil. The other three groups were fed the basal diet supplemented with 0.5, 1.5 or 5.0% w/w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il (</w:t>
      </w:r>
      <w:r w:rsidR="00FD7080" w:rsidRPr="00A25545">
        <w:rPr>
          <w:rFonts w:cs="Arial"/>
          <w:szCs w:val="22"/>
          <w:lang w:val="en-GB"/>
        </w:rPr>
        <w:t>DHA-B</w:t>
      </w:r>
      <w:r w:rsidRPr="00A25545">
        <w:rPr>
          <w:rFonts w:cs="Arial"/>
          <w:szCs w:val="22"/>
          <w:lang w:val="en-GB"/>
        </w:rPr>
        <w:t xml:space="preserve"> extracted with IPA). The low- and mid-dose diets were adjusted with corn oil so that there was a total 5% w/w added fat. Diets were prepared weekly. The rats were fed their assigned diet for 28 days while housed individually prior to mating, through the 14-day mating period while group-housed as one male and two females in each cage, and through the post-mating phase when they were housed individually. </w:t>
      </w:r>
      <w:r w:rsidR="00BE3399">
        <w:rPr>
          <w:rFonts w:cs="Arial"/>
          <w:szCs w:val="22"/>
          <w:lang w:val="en-GB"/>
        </w:rPr>
        <w:br w:type="page"/>
      </w:r>
    </w:p>
    <w:p w14:paraId="315F05FE" w14:textId="22A30171" w:rsidR="00303EC3" w:rsidRPr="00A25545" w:rsidRDefault="00303EC3" w:rsidP="00303EC3">
      <w:pPr>
        <w:rPr>
          <w:rFonts w:cs="Arial"/>
          <w:szCs w:val="22"/>
          <w:lang w:val="en-GB"/>
        </w:rPr>
      </w:pPr>
      <w:r w:rsidRPr="00A25545">
        <w:rPr>
          <w:rFonts w:cs="Arial"/>
          <w:szCs w:val="22"/>
          <w:lang w:val="en-GB"/>
        </w:rPr>
        <w:lastRenderedPageBreak/>
        <w:t>Both male and female rats were fed their assigned diet through the pregnancies of the females, at which time the males were terminated without further assessment. The females were maintained on the diets to PND 22, when they were terminated. From each litter, 1 to 2 pups of each sex were selected on PND 22 to continue on their dams’ diets for a further 90 days (20/sex/group), followed by a 30 day recovery period for 10/sex/group.</w:t>
      </w:r>
    </w:p>
    <w:p w14:paraId="2575A636" w14:textId="77777777" w:rsidR="00303EC3" w:rsidRPr="00A25545" w:rsidRDefault="00303EC3" w:rsidP="00303EC3">
      <w:pPr>
        <w:rPr>
          <w:rFonts w:cs="Arial"/>
          <w:szCs w:val="22"/>
          <w:lang w:val="en-GB"/>
        </w:rPr>
      </w:pPr>
    </w:p>
    <w:p w14:paraId="2D761D4A" w14:textId="1A7CBCA4" w:rsidR="00303EC3" w:rsidRPr="00A25545" w:rsidRDefault="00303EC3" w:rsidP="00303EC3">
      <w:pPr>
        <w:rPr>
          <w:rFonts w:cs="Arial"/>
          <w:szCs w:val="22"/>
          <w:lang w:val="en-GB"/>
        </w:rPr>
      </w:pPr>
      <w:r w:rsidRPr="00A25545">
        <w:rPr>
          <w:rFonts w:cs="Arial"/>
          <w:szCs w:val="22"/>
          <w:lang w:val="en-GB"/>
        </w:rPr>
        <w:t xml:space="preserve">Endpoints for assessment of toxicity determined on both the F0 and F1 generation were survival, clinical signs, bodyweight gain and food consumption. Additional parameters determined for the F0 females were fertility and reproductive indices, gross necropsies, ovary weights and uterine weights. Pups culled on PND 22 were subject to gross necropsy including examination for hydrocephaly. Additional parameters determined on the F1 generation were ophthalmology, motor activity assessment and </w:t>
      </w:r>
      <w:r w:rsidR="00580DE2" w:rsidRPr="00A25545">
        <w:rPr>
          <w:rFonts w:cs="Arial"/>
          <w:szCs w:val="22"/>
          <w:lang w:val="en-GB"/>
        </w:rPr>
        <w:t>Functional Observational Battery (FOB)</w:t>
      </w:r>
      <w:r w:rsidRPr="00A25545">
        <w:rPr>
          <w:rFonts w:cs="Arial"/>
          <w:szCs w:val="22"/>
          <w:lang w:val="en-GB"/>
        </w:rPr>
        <w:t xml:space="preserve"> in the final week of the 90-day interval, and clinical pathology assessments prior to termination, including haematology, clinical chemistry, clotting factors and urinalysis. All rats assigned to the 90-day study were subject to complete gross necropsy, determination of selected organ weights, and fixation of a comprehensive organ list for histopathology. Microscopic examination was conducted on all tissues from both control groups and the 5.0%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il group, and on gross lesions noted at necropsy of rats in other groups</w:t>
      </w:r>
      <w:r w:rsidR="00413628" w:rsidRPr="00A25545">
        <w:rPr>
          <w:rFonts w:cs="Arial"/>
          <w:szCs w:val="22"/>
          <w:lang w:val="en-GB"/>
        </w:rPr>
        <w:t>.</w:t>
      </w:r>
    </w:p>
    <w:p w14:paraId="274E7826" w14:textId="77777777" w:rsidR="00303EC3" w:rsidRPr="00A25545" w:rsidRDefault="00303EC3" w:rsidP="00303EC3">
      <w:pPr>
        <w:rPr>
          <w:rFonts w:cs="Arial"/>
          <w:szCs w:val="22"/>
          <w:lang w:val="en-GB"/>
        </w:rPr>
      </w:pPr>
    </w:p>
    <w:p w14:paraId="08642299" w14:textId="78A5E8CA" w:rsidR="00303EC3" w:rsidRPr="00A25545" w:rsidRDefault="00303EC3" w:rsidP="00303EC3">
      <w:pPr>
        <w:rPr>
          <w:rFonts w:cs="Arial"/>
          <w:szCs w:val="22"/>
          <w:lang w:val="en-GB"/>
        </w:rPr>
      </w:pPr>
      <w:r w:rsidRPr="00A25545">
        <w:rPr>
          <w:rFonts w:cs="Arial"/>
          <w:szCs w:val="22"/>
          <w:lang w:val="en-GB"/>
        </w:rPr>
        <w:t xml:space="preserve">Stability and homogeneity of the test and control articles was confirmed during the study. All F0 rats survived to scheduled termination, with no adverse clinical observations, and no effects on body weight, bodyweight gain, food consumption or food efficiency attributable to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Both the 5%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dams and the 5%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 xml:space="preserve">il dams had statistically significant decreases in group mean food consumption during lactation when compared to dams on the basal diet, but not when compared to each other. Consumption of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had no effect on any fertility or reproductive performance parameters, including mean pre-coital length, male and female mating, fertility index, mean gestation length, mean number of implantation sites, number of corpora lutea, pre- and post-implantation loss percentage, litter size, stillbirth index, sex ratio, gestation index, pup viability, pup survival or mean pup weight during lactation. Similarly,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had no effect on developmental landmarks in the pups, such as hair growth, pinna detachment, incisor eruption and eye opening. No macroscopic findings were noted on gross necropsy of the dams or the pups culled on PND 22. Dams in the 5%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 xml:space="preserve">il group and dams in the 5%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il group had statistically significant reductions in group mean ovarian and uterine weights when compared to dams on the basal diet, but the changes were small are remained within historical control ranges, so were considered to be non-adverse.</w:t>
      </w:r>
    </w:p>
    <w:p w14:paraId="0490046E" w14:textId="77777777" w:rsidR="00303EC3" w:rsidRPr="00A25545" w:rsidRDefault="00303EC3" w:rsidP="00303EC3">
      <w:pPr>
        <w:rPr>
          <w:rFonts w:cs="Arial"/>
          <w:szCs w:val="22"/>
          <w:lang w:val="en-GB"/>
        </w:rPr>
      </w:pPr>
    </w:p>
    <w:p w14:paraId="24068FF5" w14:textId="32FC59D1" w:rsidR="00303EC3" w:rsidRPr="00A25545" w:rsidRDefault="00303EC3" w:rsidP="00303EC3">
      <w:pPr>
        <w:rPr>
          <w:rFonts w:cs="Arial"/>
          <w:szCs w:val="22"/>
          <w:lang w:val="en-GB"/>
        </w:rPr>
      </w:pPr>
      <w:r w:rsidRPr="00A25545">
        <w:rPr>
          <w:rFonts w:cs="Arial"/>
          <w:szCs w:val="22"/>
          <w:lang w:val="en-GB"/>
        </w:rPr>
        <w:t>There were no test article-related mortalities in rats in the F1 generation assigned to the 90-study</w:t>
      </w:r>
      <w:r w:rsidR="00413628" w:rsidRPr="00A25545">
        <w:rPr>
          <w:rFonts w:cs="Arial"/>
          <w:szCs w:val="22"/>
          <w:lang w:val="en-GB"/>
        </w:rPr>
        <w:t xml:space="preserve">. </w:t>
      </w:r>
      <w:r w:rsidRPr="00A25545">
        <w:rPr>
          <w:rFonts w:cs="Arial"/>
          <w:szCs w:val="22"/>
          <w:lang w:val="en-GB"/>
        </w:rPr>
        <w:t xml:space="preserve">Consumption of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had no effect on clinical observations, ophthalmology findings, motor activity or performance on the FOB.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had no effect on the group mean bodyweights of males, </w:t>
      </w:r>
      <w:r w:rsidR="0017229A" w:rsidRPr="00A25545">
        <w:rPr>
          <w:rFonts w:cs="Arial"/>
          <w:szCs w:val="22"/>
          <w:lang w:val="en-GB"/>
        </w:rPr>
        <w:t xml:space="preserve">however </w:t>
      </w:r>
      <w:r w:rsidRPr="00A25545">
        <w:rPr>
          <w:rFonts w:cs="Arial"/>
          <w:szCs w:val="22"/>
          <w:lang w:val="en-GB"/>
        </w:rPr>
        <w:t xml:space="preserve">bodyweight gain was significantly reduced over the course of the study in males consuming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 xml:space="preserve">il. Females consuming ≥ 1.5% w/w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gained more weight over the course of the study than females consuming the basal diet, and this effect persisted through the 30-day recovery period. Male controls consuming the basal diet tended to have higher mean daily food consumption than males in the treatment groups and the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il-supplemented group, but food consumption was not affected by oil supplementation in females.</w:t>
      </w:r>
    </w:p>
    <w:p w14:paraId="2ACD72FC" w14:textId="77777777" w:rsidR="00303EC3" w:rsidRPr="00A25545" w:rsidRDefault="00303EC3" w:rsidP="00303EC3">
      <w:pPr>
        <w:rPr>
          <w:rFonts w:cs="Arial"/>
          <w:szCs w:val="22"/>
          <w:lang w:val="en-GB"/>
        </w:rPr>
      </w:pPr>
    </w:p>
    <w:p w14:paraId="4169908B" w14:textId="4D0CCEF1" w:rsidR="00BE3399" w:rsidRDefault="00303EC3" w:rsidP="00303EC3">
      <w:pPr>
        <w:rPr>
          <w:rFonts w:cs="Arial"/>
          <w:szCs w:val="22"/>
          <w:lang w:val="en-GB"/>
        </w:rPr>
      </w:pPr>
      <w:r w:rsidRPr="00A25545">
        <w:rPr>
          <w:rFonts w:cs="Arial"/>
          <w:szCs w:val="22"/>
          <w:lang w:val="en-GB"/>
        </w:rPr>
        <w:t xml:space="preserve">Male rats that consumed 5% w/w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had slightly lower mean erythrocyte counts </w:t>
      </w:r>
      <w:r w:rsidR="000D3C9A" w:rsidRPr="00A25545">
        <w:rPr>
          <w:rFonts w:cs="Arial"/>
          <w:szCs w:val="22"/>
          <w:lang w:val="en-GB"/>
        </w:rPr>
        <w:t xml:space="preserve">(4.75% decrease) </w:t>
      </w:r>
      <w:r w:rsidRPr="00A25545">
        <w:rPr>
          <w:rFonts w:cs="Arial"/>
          <w:szCs w:val="22"/>
          <w:lang w:val="en-GB"/>
        </w:rPr>
        <w:t>and haematocrit</w:t>
      </w:r>
      <w:r w:rsidR="000D3C9A" w:rsidRPr="00A25545">
        <w:rPr>
          <w:rFonts w:cs="Arial"/>
          <w:szCs w:val="22"/>
          <w:lang w:val="en-GB"/>
        </w:rPr>
        <w:t xml:space="preserve"> (3.67% decrease)</w:t>
      </w:r>
      <w:r w:rsidRPr="00A25545">
        <w:rPr>
          <w:rFonts w:cs="Arial"/>
          <w:szCs w:val="22"/>
          <w:lang w:val="en-GB"/>
        </w:rPr>
        <w:t xml:space="preserve"> than controls at the end of the 90-day treatment phase, with some resolution during the recovery phase. These decreases were not of clinical significance, and the authors noted that such haematological changes in male rats have been reported in other dietary studies of LC-PUFA oils. </w:t>
      </w:r>
      <w:r w:rsidR="00BE3399">
        <w:rPr>
          <w:rFonts w:cs="Arial"/>
          <w:szCs w:val="22"/>
          <w:lang w:val="en-GB"/>
        </w:rPr>
        <w:br w:type="page"/>
      </w:r>
    </w:p>
    <w:p w14:paraId="26C1043E" w14:textId="09DB0B27" w:rsidR="00303EC3" w:rsidRPr="00A25545" w:rsidRDefault="00303EC3" w:rsidP="00303EC3">
      <w:pPr>
        <w:rPr>
          <w:rFonts w:cs="Arial"/>
          <w:szCs w:val="22"/>
          <w:lang w:val="en-GB"/>
        </w:rPr>
      </w:pPr>
      <w:r w:rsidRPr="00A25545">
        <w:rPr>
          <w:rFonts w:cs="Arial"/>
          <w:szCs w:val="22"/>
          <w:lang w:val="en-GB"/>
        </w:rPr>
        <w:lastRenderedPageBreak/>
        <w:t xml:space="preserve">At 90 days, alkaline phosphatase (AP) activity was significantly increased, and mean cholesterol level decreased, in both sexes in the 5% w/w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 group and in the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 xml:space="preserve">il group, compared to sex-matched controls. The AP activity increase persisted through the recovery period, while the cholesterol level returned to a level comparable with that of controls. Similar elevation in AP activity has been reported in other studies of high LC-PUFA consumption in rats. The reduction in mean serum cholesterol was likewise an expected effect of LC-PUFA intake. Both the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 xml:space="preserve">il rats and the 5% w/w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il rats exhibited higher protein levels in urine than the control rats, but there were no clinical or pathological correlates and therefore the urine protein findings were considered to be non-adverse.</w:t>
      </w:r>
    </w:p>
    <w:p w14:paraId="55CC7811" w14:textId="77777777" w:rsidR="00303EC3" w:rsidRPr="00A25545" w:rsidRDefault="00303EC3" w:rsidP="00303EC3">
      <w:pPr>
        <w:rPr>
          <w:rFonts w:cs="Arial"/>
          <w:szCs w:val="22"/>
          <w:lang w:val="en-GB"/>
        </w:rPr>
      </w:pPr>
    </w:p>
    <w:p w14:paraId="15CB9005" w14:textId="41267715" w:rsidR="00303EC3" w:rsidRPr="00A25545" w:rsidRDefault="00303EC3" w:rsidP="00303EC3">
      <w:pPr>
        <w:rPr>
          <w:rFonts w:cs="Arial"/>
          <w:i/>
          <w:szCs w:val="22"/>
          <w:lang w:val="en-GB"/>
        </w:rPr>
      </w:pPr>
      <w:r w:rsidRPr="00A25545">
        <w:rPr>
          <w:rFonts w:cs="Arial"/>
          <w:szCs w:val="22"/>
          <w:lang w:val="en-GB"/>
        </w:rPr>
        <w:t xml:space="preserve">There were no treatment-related findings on gross necropsy, and no organ weight changes in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 xml:space="preserve">il-treated rats that were not also found in the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 xml:space="preserve">il rats. Both the </w:t>
      </w:r>
      <w:r w:rsidR="00A11242" w:rsidRPr="00A25545">
        <w:rPr>
          <w:rFonts w:cs="Arial"/>
          <w:szCs w:val="22"/>
          <w:lang w:val="en-GB"/>
        </w:rPr>
        <w:t>f</w:t>
      </w:r>
      <w:r w:rsidRPr="00A25545">
        <w:rPr>
          <w:rFonts w:cs="Arial"/>
          <w:szCs w:val="22"/>
          <w:lang w:val="en-GB"/>
        </w:rPr>
        <w:t xml:space="preserve">ish </w:t>
      </w:r>
      <w:r w:rsidR="00A11242" w:rsidRPr="00A25545">
        <w:rPr>
          <w:rFonts w:cs="Arial"/>
          <w:szCs w:val="22"/>
          <w:lang w:val="en-GB"/>
        </w:rPr>
        <w:t>o</w:t>
      </w:r>
      <w:r w:rsidRPr="00A25545">
        <w:rPr>
          <w:rFonts w:cs="Arial"/>
          <w:szCs w:val="22"/>
          <w:lang w:val="en-GB"/>
        </w:rPr>
        <w:t xml:space="preserve">il rats and the 5% w/w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il had increased cytoplasmic vacuolation of</w:t>
      </w:r>
      <w:r w:rsidR="0017229A" w:rsidRPr="00A25545">
        <w:rPr>
          <w:rFonts w:cs="Arial"/>
          <w:szCs w:val="22"/>
          <w:lang w:val="en-GB"/>
        </w:rPr>
        <w:t xml:space="preserve"> </w:t>
      </w:r>
      <w:r w:rsidRPr="00A25545">
        <w:rPr>
          <w:rFonts w:cs="Arial"/>
          <w:szCs w:val="22"/>
          <w:lang w:val="en-GB"/>
        </w:rPr>
        <w:t>the cortical cells in the zona fasciculata of the adrenal glands. Therefore this change was considered to be a non-adverse physiological adaptation to high LC-PUFA intake.</w:t>
      </w:r>
    </w:p>
    <w:p w14:paraId="3D60D606" w14:textId="77777777" w:rsidR="00303EC3" w:rsidRPr="00A25545" w:rsidRDefault="00303EC3" w:rsidP="00303EC3">
      <w:pPr>
        <w:rPr>
          <w:rFonts w:cs="Arial"/>
          <w:i/>
          <w:szCs w:val="22"/>
          <w:lang w:val="en-GB"/>
        </w:rPr>
      </w:pPr>
    </w:p>
    <w:p w14:paraId="53B4AA6D" w14:textId="7678F651" w:rsidR="00303EC3" w:rsidRPr="00A25545" w:rsidRDefault="00303EC3" w:rsidP="00303EC3">
      <w:pPr>
        <w:rPr>
          <w:rFonts w:cs="Arial"/>
          <w:szCs w:val="22"/>
          <w:lang w:val="en-GB"/>
        </w:rPr>
      </w:pPr>
      <w:r w:rsidRPr="00A25545">
        <w:rPr>
          <w:rFonts w:cs="Arial"/>
          <w:szCs w:val="22"/>
          <w:lang w:val="en-GB"/>
        </w:rPr>
        <w:t xml:space="preserve">It was concluded that the NOAEL for DHA-rich </w:t>
      </w:r>
      <w:r w:rsidR="00A11242" w:rsidRPr="00A25545">
        <w:rPr>
          <w:rFonts w:cs="Arial"/>
          <w:szCs w:val="22"/>
          <w:lang w:val="en-GB"/>
        </w:rPr>
        <w:t>a</w:t>
      </w:r>
      <w:r w:rsidRPr="00A25545">
        <w:rPr>
          <w:rFonts w:cs="Arial"/>
          <w:szCs w:val="22"/>
          <w:lang w:val="en-GB"/>
        </w:rPr>
        <w:t xml:space="preserve">lgal </w:t>
      </w:r>
      <w:r w:rsidR="00A11242" w:rsidRPr="00A25545">
        <w:rPr>
          <w:rFonts w:cs="Arial"/>
          <w:szCs w:val="22"/>
          <w:lang w:val="en-GB"/>
        </w:rPr>
        <w:t>o</w:t>
      </w:r>
      <w:r w:rsidRPr="00A25545">
        <w:rPr>
          <w:rFonts w:cs="Arial"/>
          <w:szCs w:val="22"/>
          <w:lang w:val="en-GB"/>
        </w:rPr>
        <w:t>il was 5% w/w in the diet. This dose corresponded to 4122 and 4399 mg/kg bw/day, for male and female rats, respectively, with the average for both genders 4260 mg/kg bw/day. The average intake of DHA-rich algal oil by a human infant consuming formula would be 19–51 mg/kg bw/day. Therefore, the NOAEL from this study, 4260 mg/kg bw/day, represents a margin</w:t>
      </w:r>
      <w:r w:rsidR="0017229A" w:rsidRPr="00A25545">
        <w:rPr>
          <w:rFonts w:cs="Arial"/>
          <w:szCs w:val="22"/>
          <w:lang w:val="en-GB"/>
        </w:rPr>
        <w:t xml:space="preserve"> of exposure</w:t>
      </w:r>
      <w:r w:rsidRPr="00A25545">
        <w:rPr>
          <w:rFonts w:cs="Arial"/>
          <w:szCs w:val="22"/>
          <w:lang w:val="en-GB"/>
        </w:rPr>
        <w:t xml:space="preserve"> for infants of 84–224</w:t>
      </w:r>
      <w:r w:rsidRPr="00A25545">
        <w:rPr>
          <w:rFonts w:cs="Arial"/>
          <w:i/>
          <w:szCs w:val="22"/>
          <w:lang w:val="en-GB"/>
        </w:rPr>
        <w:t>.</w:t>
      </w:r>
    </w:p>
    <w:p w14:paraId="54FAF6C1" w14:textId="5A0BEDEB" w:rsidR="00303EC3" w:rsidRPr="00A76FA6" w:rsidRDefault="002B507B" w:rsidP="000704DA">
      <w:pPr>
        <w:pStyle w:val="Heading2"/>
      </w:pPr>
      <w:bookmarkStart w:id="50" w:name="_Toc456609501"/>
      <w:bookmarkStart w:id="51" w:name="_Toc457821688"/>
      <w:bookmarkStart w:id="52" w:name="_Toc464129785"/>
      <w:r w:rsidRPr="00FE490D">
        <w:t>3</w:t>
      </w:r>
      <w:r w:rsidR="009613B0" w:rsidRPr="00A76FA6">
        <w:t>.</w:t>
      </w:r>
      <w:r w:rsidR="00FA31C9">
        <w:t>5</w:t>
      </w:r>
      <w:r w:rsidR="009613B0" w:rsidRPr="00A76FA6">
        <w:tab/>
      </w:r>
      <w:r w:rsidR="00303EC3" w:rsidRPr="00A76FA6">
        <w:t xml:space="preserve">Studies in </w:t>
      </w:r>
      <w:bookmarkEnd w:id="50"/>
      <w:bookmarkEnd w:id="51"/>
      <w:r w:rsidR="00FA31C9" w:rsidRPr="00A76FA6">
        <w:t>humans</w:t>
      </w:r>
      <w:bookmarkEnd w:id="52"/>
    </w:p>
    <w:p w14:paraId="3C608122" w14:textId="7E1BA585" w:rsidR="00303EC3" w:rsidRPr="00A25545" w:rsidRDefault="00303EC3" w:rsidP="00303EC3">
      <w:pPr>
        <w:rPr>
          <w:rFonts w:cs="Arial"/>
          <w:szCs w:val="22"/>
          <w:lang w:val="en-GB"/>
        </w:rPr>
      </w:pPr>
      <w:r w:rsidRPr="00A25545">
        <w:rPr>
          <w:rFonts w:cs="Arial"/>
          <w:szCs w:val="22"/>
          <w:lang w:val="en-GB"/>
        </w:rPr>
        <w:t>No human studies specifically addressing the safety of the source organism were found.</w:t>
      </w:r>
      <w:r w:rsidR="00A92233">
        <w:rPr>
          <w:rFonts w:cs="Arial"/>
          <w:szCs w:val="22"/>
          <w:lang w:val="en-GB"/>
        </w:rPr>
        <w:t xml:space="preserve"> </w:t>
      </w:r>
      <w:r w:rsidRPr="00A25545">
        <w:rPr>
          <w:rFonts w:cs="Arial"/>
          <w:szCs w:val="22"/>
          <w:lang w:val="en-GB"/>
        </w:rPr>
        <w:t xml:space="preserve">As previously noted, there have been no significant increases in the proportion of adverse gastrointestinal events associated with use of infant formula reported in the CAERS database over the time interval since before DHA supplementation of formula was introduced to 2011, when addition of DHA to infant formula </w:t>
      </w:r>
      <w:r w:rsidR="008F45A2" w:rsidRPr="00A25545">
        <w:rPr>
          <w:rFonts w:cs="Arial"/>
          <w:szCs w:val="22"/>
          <w:lang w:val="en-GB"/>
        </w:rPr>
        <w:t>became commonplace</w:t>
      </w:r>
      <w:r w:rsidRPr="00A25545">
        <w:rPr>
          <w:rFonts w:cs="Arial"/>
          <w:szCs w:val="22"/>
          <w:lang w:val="en-GB"/>
        </w:rPr>
        <w:t xml:space="preserve"> (US</w:t>
      </w:r>
      <w:r w:rsidR="00A92233">
        <w:rPr>
          <w:rFonts w:cs="Arial"/>
          <w:szCs w:val="22"/>
          <w:lang w:val="en-GB"/>
        </w:rPr>
        <w:t xml:space="preserve"> </w:t>
      </w:r>
      <w:r w:rsidRPr="00A25545">
        <w:rPr>
          <w:rFonts w:cs="Arial"/>
          <w:szCs w:val="22"/>
          <w:lang w:val="en-GB"/>
        </w:rPr>
        <w:t>FDA, 2011).</w:t>
      </w:r>
    </w:p>
    <w:p w14:paraId="347B5136" w14:textId="05A9E884" w:rsidR="00303EC3" w:rsidRPr="00A76FA6" w:rsidRDefault="002B507B" w:rsidP="0029539A">
      <w:pPr>
        <w:pStyle w:val="Heading2"/>
      </w:pPr>
      <w:bookmarkStart w:id="53" w:name="_Toc176065064"/>
      <w:bookmarkStart w:id="54" w:name="_Toc176607091"/>
      <w:bookmarkStart w:id="55" w:name="_Toc176607468"/>
      <w:bookmarkStart w:id="56" w:name="_Toc176936976"/>
      <w:bookmarkStart w:id="57" w:name="_Toc196808184"/>
      <w:bookmarkStart w:id="58" w:name="_Toc197495443"/>
      <w:bookmarkStart w:id="59" w:name="_Toc456609502"/>
      <w:bookmarkStart w:id="60" w:name="_Toc457821689"/>
      <w:bookmarkStart w:id="61" w:name="_Toc464129786"/>
      <w:r w:rsidRPr="00FE490D">
        <w:t>3.</w:t>
      </w:r>
      <w:r w:rsidR="003B7017">
        <w:t>6</w:t>
      </w:r>
      <w:r w:rsidR="0001282A" w:rsidRPr="00A76FA6">
        <w:tab/>
      </w:r>
      <w:r w:rsidRPr="00A76FA6">
        <w:t xml:space="preserve">Hazard assessment </w:t>
      </w:r>
      <w:bookmarkEnd w:id="53"/>
      <w:bookmarkEnd w:id="54"/>
      <w:bookmarkEnd w:id="55"/>
      <w:bookmarkEnd w:id="56"/>
      <w:bookmarkEnd w:id="57"/>
      <w:bookmarkEnd w:id="58"/>
      <w:bookmarkEnd w:id="59"/>
      <w:bookmarkEnd w:id="60"/>
      <w:r w:rsidRPr="00A76FA6">
        <w:t>d</w:t>
      </w:r>
      <w:r w:rsidR="00303EC3" w:rsidRPr="00A76FA6">
        <w:t>iscussion</w:t>
      </w:r>
      <w:bookmarkEnd w:id="61"/>
    </w:p>
    <w:p w14:paraId="3AC5DE08" w14:textId="198E872D" w:rsidR="00303EC3" w:rsidRPr="00A92233" w:rsidRDefault="00303EC3" w:rsidP="00303EC3">
      <w:pPr>
        <w:rPr>
          <w:lang w:val="en-GB" w:bidi="ar-SA"/>
        </w:rPr>
      </w:pPr>
      <w:r w:rsidRPr="00A92233">
        <w:rPr>
          <w:lang w:val="en-GB" w:bidi="ar-SA"/>
        </w:rPr>
        <w:t xml:space="preserve">No evidence of genotoxicity of dried </w:t>
      </w:r>
      <w:r w:rsidRPr="00A92233">
        <w:rPr>
          <w:i/>
          <w:lang w:val="en-GB" w:bidi="ar-SA"/>
        </w:rPr>
        <w:t xml:space="preserve">Schizochytrium </w:t>
      </w:r>
      <w:r w:rsidRPr="00A92233">
        <w:rPr>
          <w:lang w:val="en-GB" w:bidi="ar-SA"/>
        </w:rPr>
        <w:t xml:space="preserve">was found using </w:t>
      </w:r>
      <w:r w:rsidR="008F45A2" w:rsidRPr="00A92233">
        <w:rPr>
          <w:lang w:val="en-GB" w:bidi="ar-SA"/>
        </w:rPr>
        <w:t xml:space="preserve">a </w:t>
      </w:r>
      <w:r w:rsidRPr="00A92233">
        <w:rPr>
          <w:lang w:val="en-GB" w:bidi="ar-SA"/>
        </w:rPr>
        <w:t>bacterial reverse mutation assay (Ames test),</w:t>
      </w:r>
      <w:r w:rsidR="008F45A2" w:rsidRPr="00A92233">
        <w:rPr>
          <w:lang w:val="en-GB" w:bidi="ar-SA"/>
        </w:rPr>
        <w:t xml:space="preserve"> </w:t>
      </w:r>
      <w:r w:rsidRPr="00A92233">
        <w:rPr>
          <w:lang w:val="en-GB" w:bidi="ar-SA"/>
        </w:rPr>
        <w:t xml:space="preserve">gene mutation assay in Chinese hamster ovary cells, chromosomal aberration assay in human peripheral lymphocytes, or </w:t>
      </w:r>
      <w:r w:rsidR="008F45A2" w:rsidRPr="00A92233">
        <w:rPr>
          <w:lang w:val="en-GB" w:bidi="ar-SA"/>
        </w:rPr>
        <w:t xml:space="preserve">the </w:t>
      </w:r>
      <w:r w:rsidRPr="00A92233">
        <w:rPr>
          <w:lang w:val="en-GB" w:bidi="ar-SA"/>
        </w:rPr>
        <w:t xml:space="preserve">mouse micronucleus assay. Subchronic dietary administration of dried </w:t>
      </w:r>
      <w:r w:rsidRPr="00A92233">
        <w:rPr>
          <w:i/>
          <w:lang w:val="en-GB" w:bidi="ar-SA"/>
        </w:rPr>
        <w:t>Schizochytrium</w:t>
      </w:r>
      <w:r w:rsidRPr="00A92233">
        <w:rPr>
          <w:lang w:val="en-GB" w:bidi="ar-SA"/>
        </w:rPr>
        <w:t xml:space="preserve"> to Sprague-Dawley rats for 13 weeks did not produce any adverse effects of relevance to humans at dosages up to 4000 mg/kg</w:t>
      </w:r>
      <w:r w:rsidR="008F45A2" w:rsidRPr="00A92233">
        <w:rPr>
          <w:lang w:val="en-GB" w:bidi="ar-SA"/>
        </w:rPr>
        <w:t xml:space="preserve"> bw</w:t>
      </w:r>
      <w:r w:rsidRPr="00A92233">
        <w:rPr>
          <w:lang w:val="en-GB" w:bidi="ar-SA"/>
        </w:rPr>
        <w:t>/day. There was no evidence or reproductive toxicity in rats, or developmental toxicity in rats or rabbits.</w:t>
      </w:r>
    </w:p>
    <w:p w14:paraId="53E3A449" w14:textId="77777777" w:rsidR="00303EC3" w:rsidRPr="00A92233" w:rsidRDefault="00303EC3" w:rsidP="00303EC3">
      <w:pPr>
        <w:rPr>
          <w:lang w:val="en-GB" w:bidi="ar-SA"/>
        </w:rPr>
      </w:pPr>
    </w:p>
    <w:p w14:paraId="5F225404" w14:textId="3B26BFEE" w:rsidR="00303EC3" w:rsidRPr="00A92233" w:rsidRDefault="00634E58" w:rsidP="00303EC3">
      <w:pPr>
        <w:rPr>
          <w:lang w:val="en-GB" w:bidi="ar-SA"/>
        </w:rPr>
      </w:pPr>
      <w:r w:rsidRPr="00A92233">
        <w:rPr>
          <w:lang w:val="en-GB" w:bidi="ar-SA"/>
        </w:rPr>
        <w:t>G</w:t>
      </w:r>
      <w:r w:rsidR="00303EC3" w:rsidRPr="00A92233">
        <w:rPr>
          <w:lang w:val="en-GB" w:bidi="ar-SA"/>
        </w:rPr>
        <w:t xml:space="preserve">enotoxicity assays </w:t>
      </w:r>
      <w:r w:rsidRPr="00A92233">
        <w:rPr>
          <w:lang w:val="en-GB" w:bidi="ar-SA"/>
        </w:rPr>
        <w:t xml:space="preserve">conducted using </w:t>
      </w:r>
      <w:r w:rsidR="00FD7080" w:rsidRPr="00A92233">
        <w:rPr>
          <w:lang w:val="en-GB" w:bidi="ar-SA"/>
        </w:rPr>
        <w:t>DHA-B</w:t>
      </w:r>
      <w:r w:rsidR="00303EC3" w:rsidRPr="00A92233">
        <w:rPr>
          <w:lang w:val="en-GB" w:bidi="ar-SA"/>
        </w:rPr>
        <w:t xml:space="preserve"> included </w:t>
      </w:r>
      <w:r w:rsidRPr="00A92233">
        <w:rPr>
          <w:lang w:val="en-GB" w:bidi="ar-SA"/>
        </w:rPr>
        <w:t xml:space="preserve">a </w:t>
      </w:r>
      <w:r w:rsidR="00303EC3" w:rsidRPr="00A92233">
        <w:rPr>
          <w:lang w:val="en-GB" w:bidi="ar-SA"/>
        </w:rPr>
        <w:t>bacterial reverse mutation assay, chromosomal aberration assay in human peripheral lymphocytes and mouse micronucleus assay</w:t>
      </w:r>
      <w:r w:rsidRPr="00A92233">
        <w:rPr>
          <w:lang w:val="en-GB" w:bidi="ar-SA"/>
        </w:rPr>
        <w:t xml:space="preserve">. DHA-B (extracted without isopropropyl) was negative </w:t>
      </w:r>
      <w:r w:rsidRPr="00A92233">
        <w:rPr>
          <w:i/>
          <w:lang w:val="en-GB" w:bidi="ar-SA"/>
        </w:rPr>
        <w:t>in</w:t>
      </w:r>
      <w:r w:rsidR="00CD5AE0" w:rsidRPr="00A92233">
        <w:rPr>
          <w:i/>
          <w:lang w:val="en-GB" w:bidi="ar-SA"/>
        </w:rPr>
        <w:t xml:space="preserve"> vitro</w:t>
      </w:r>
      <w:r w:rsidR="00CD5AE0" w:rsidRPr="00A92233">
        <w:rPr>
          <w:lang w:val="en-GB" w:bidi="ar-SA"/>
        </w:rPr>
        <w:t xml:space="preserve"> in</w:t>
      </w:r>
      <w:r w:rsidRPr="00A92233">
        <w:rPr>
          <w:lang w:val="en-GB" w:bidi="ar-SA"/>
        </w:rPr>
        <w:t xml:space="preserve"> a bacterial reverse mutation assay and an equivocal result was reported in a chromosome aberration test. The te</w:t>
      </w:r>
      <w:r w:rsidR="0048711C" w:rsidRPr="00A92233">
        <w:rPr>
          <w:lang w:val="en-GB" w:bidi="ar-SA"/>
        </w:rPr>
        <w:t xml:space="preserve">st substance was negative in the </w:t>
      </w:r>
      <w:r w:rsidR="0048711C" w:rsidRPr="00A92233">
        <w:rPr>
          <w:i/>
          <w:lang w:val="en-GB" w:bidi="ar-SA"/>
        </w:rPr>
        <w:t>in vivo</w:t>
      </w:r>
      <w:r w:rsidR="00DE4DD6" w:rsidRPr="00A92233">
        <w:rPr>
          <w:lang w:val="en-GB" w:bidi="ar-SA"/>
        </w:rPr>
        <w:t xml:space="preserve"> mouse micronucleus</w:t>
      </w:r>
      <w:r w:rsidR="00243DFE" w:rsidRPr="00A92233">
        <w:rPr>
          <w:lang w:val="en-GB" w:bidi="ar-SA"/>
        </w:rPr>
        <w:t xml:space="preserve"> model. </w:t>
      </w:r>
      <w:r w:rsidR="00CD5AE0" w:rsidRPr="00A92233">
        <w:rPr>
          <w:lang w:val="en-GB" w:bidi="ar-SA"/>
        </w:rPr>
        <w:t xml:space="preserve">Overall the weight of evidence indicates that DHA-B is unlikely to be genotoxic. </w:t>
      </w:r>
      <w:r w:rsidR="00303EC3" w:rsidRPr="00A92233">
        <w:rPr>
          <w:lang w:val="en-GB" w:bidi="ar-SA"/>
        </w:rPr>
        <w:t xml:space="preserve">No evidence of genotoxicity was found in any of the assays in which </w:t>
      </w:r>
      <w:r w:rsidR="00FD7080" w:rsidRPr="00A92233">
        <w:rPr>
          <w:lang w:val="en-GB" w:bidi="ar-SA"/>
        </w:rPr>
        <w:t>DHA-B</w:t>
      </w:r>
      <w:r w:rsidR="00303EC3" w:rsidRPr="00A92233">
        <w:rPr>
          <w:lang w:val="en-GB" w:bidi="ar-SA"/>
        </w:rPr>
        <w:t xml:space="preserve"> extracted using isopropyl alcohol was the test article. </w:t>
      </w:r>
    </w:p>
    <w:p w14:paraId="42FE12F1" w14:textId="77777777" w:rsidR="00303EC3" w:rsidRPr="00A92233" w:rsidRDefault="00303EC3" w:rsidP="00303EC3">
      <w:pPr>
        <w:rPr>
          <w:lang w:val="en-GB" w:bidi="ar-SA"/>
        </w:rPr>
      </w:pPr>
    </w:p>
    <w:p w14:paraId="59BE77B3" w14:textId="3E6196C4" w:rsidR="00BE3399" w:rsidRDefault="00303EC3" w:rsidP="00303EC3">
      <w:pPr>
        <w:rPr>
          <w:lang w:val="en-GB" w:bidi="ar-SA"/>
        </w:rPr>
      </w:pPr>
      <w:r w:rsidRPr="00A92233">
        <w:rPr>
          <w:lang w:val="en-GB" w:bidi="ar-SA"/>
        </w:rPr>
        <w:t xml:space="preserve">There was no evidence of adverse subchronic effects, or of reproductive or developmental toxicity in a 90-day dietary study in </w:t>
      </w:r>
      <w:r w:rsidR="00243DFE" w:rsidRPr="00A92233">
        <w:rPr>
          <w:lang w:val="en-GB" w:bidi="ar-SA"/>
        </w:rPr>
        <w:t xml:space="preserve">which </w:t>
      </w:r>
      <w:r w:rsidRPr="00A92233">
        <w:rPr>
          <w:lang w:val="en-GB" w:bidi="ar-SA"/>
        </w:rPr>
        <w:t xml:space="preserve">rats </w:t>
      </w:r>
      <w:r w:rsidR="00243DFE" w:rsidRPr="00A92233">
        <w:rPr>
          <w:lang w:val="en-GB" w:bidi="ar-SA"/>
        </w:rPr>
        <w:t xml:space="preserve">were administered DHA-B (extracted with water) </w:t>
      </w:r>
      <w:r w:rsidRPr="00A92233">
        <w:rPr>
          <w:lang w:val="en-GB" w:bidi="ar-SA"/>
        </w:rPr>
        <w:t xml:space="preserve">prior to mating and throughout gestation and lactation. It was concluded that the </w:t>
      </w:r>
      <w:r w:rsidR="00243DFE" w:rsidRPr="00A92233">
        <w:rPr>
          <w:lang w:val="en-GB" w:bidi="ar-SA"/>
        </w:rPr>
        <w:t>NOAEL</w:t>
      </w:r>
      <w:r w:rsidRPr="00A92233">
        <w:rPr>
          <w:lang w:val="en-GB" w:bidi="ar-SA"/>
        </w:rPr>
        <w:t xml:space="preserve"> for dietary </w:t>
      </w:r>
      <w:r w:rsidR="00FD7080" w:rsidRPr="00A92233">
        <w:rPr>
          <w:lang w:val="en-GB" w:bidi="ar-SA"/>
        </w:rPr>
        <w:t>DHA-B</w:t>
      </w:r>
      <w:r w:rsidRPr="00A92233">
        <w:rPr>
          <w:lang w:val="en-GB" w:bidi="ar-SA"/>
        </w:rPr>
        <w:t xml:space="preserve"> in rats was 50,000 ppm, </w:t>
      </w:r>
      <w:r w:rsidR="00CD5AE0" w:rsidRPr="00A92233">
        <w:rPr>
          <w:lang w:val="en-GB" w:bidi="ar-SA"/>
        </w:rPr>
        <w:t>or</w:t>
      </w:r>
      <w:r w:rsidRPr="00A92233">
        <w:rPr>
          <w:lang w:val="en-GB" w:bidi="ar-SA"/>
        </w:rPr>
        <w:t xml:space="preserve"> equivalent to 3279 mg/kg</w:t>
      </w:r>
      <w:r w:rsidR="00CD5AE0" w:rsidRPr="00A92233">
        <w:rPr>
          <w:lang w:val="en-GB" w:bidi="ar-SA"/>
        </w:rPr>
        <w:t xml:space="preserve"> bw</w:t>
      </w:r>
      <w:r w:rsidRPr="00A92233">
        <w:rPr>
          <w:lang w:val="en-GB" w:bidi="ar-SA"/>
        </w:rPr>
        <w:t>/d</w:t>
      </w:r>
      <w:r w:rsidR="00CD5AE0" w:rsidRPr="00A92233">
        <w:rPr>
          <w:lang w:val="en-GB" w:bidi="ar-SA"/>
        </w:rPr>
        <w:t>ay</w:t>
      </w:r>
      <w:r w:rsidRPr="00A92233">
        <w:rPr>
          <w:lang w:val="en-GB" w:bidi="ar-SA"/>
        </w:rPr>
        <w:t xml:space="preserve"> for males and 3788 mg/kg</w:t>
      </w:r>
      <w:r w:rsidR="00CD5AE0" w:rsidRPr="00A92233">
        <w:rPr>
          <w:lang w:val="en-GB" w:bidi="ar-SA"/>
        </w:rPr>
        <w:t xml:space="preserve"> bw</w:t>
      </w:r>
      <w:r w:rsidRPr="00A92233">
        <w:rPr>
          <w:lang w:val="en-GB" w:bidi="ar-SA"/>
        </w:rPr>
        <w:t xml:space="preserve">/day in females. </w:t>
      </w:r>
      <w:r w:rsidR="00BE3399">
        <w:rPr>
          <w:lang w:val="en-GB" w:bidi="ar-SA"/>
        </w:rPr>
        <w:br w:type="page"/>
      </w:r>
    </w:p>
    <w:p w14:paraId="28297A33" w14:textId="7B02F5F3" w:rsidR="00303EC3" w:rsidRPr="00A92233" w:rsidRDefault="00CD5AE0" w:rsidP="00303EC3">
      <w:pPr>
        <w:rPr>
          <w:lang w:val="en-GB" w:bidi="ar-SA"/>
        </w:rPr>
      </w:pPr>
      <w:r w:rsidRPr="00A92233">
        <w:rPr>
          <w:lang w:val="en-GB" w:bidi="ar-SA"/>
        </w:rPr>
        <w:lastRenderedPageBreak/>
        <w:t>In a similar study conducted with</w:t>
      </w:r>
      <w:r w:rsidR="00303EC3" w:rsidRPr="00A92233">
        <w:rPr>
          <w:lang w:val="en-GB" w:bidi="ar-SA"/>
        </w:rPr>
        <w:t xml:space="preserve"> </w:t>
      </w:r>
      <w:r w:rsidR="00FD7080" w:rsidRPr="00A92233">
        <w:rPr>
          <w:lang w:val="en-GB" w:bidi="ar-SA"/>
        </w:rPr>
        <w:t>DHA-B</w:t>
      </w:r>
      <w:r w:rsidR="00303EC3" w:rsidRPr="00A92233">
        <w:rPr>
          <w:lang w:val="en-GB" w:bidi="ar-SA"/>
        </w:rPr>
        <w:t xml:space="preserve"> extracted with isopropyl alcohol, </w:t>
      </w:r>
      <w:r w:rsidRPr="00A92233">
        <w:rPr>
          <w:lang w:val="en-GB" w:bidi="ar-SA"/>
        </w:rPr>
        <w:t xml:space="preserve">the average (male and female) NOAEL was 4260 mg/kg bw/day. Assuming an average intake of a human infant of 19–51 mg/kg bw/day this represents a margin of exposure for infants of 84–224. </w:t>
      </w:r>
    </w:p>
    <w:p w14:paraId="5A41B76A" w14:textId="77777777" w:rsidR="00303EC3" w:rsidRPr="00A92233" w:rsidRDefault="00303EC3" w:rsidP="00303EC3">
      <w:pPr>
        <w:rPr>
          <w:lang w:val="en-GB" w:bidi="ar-SA"/>
        </w:rPr>
      </w:pPr>
    </w:p>
    <w:p w14:paraId="262642E3" w14:textId="2279C098" w:rsidR="00303EC3" w:rsidRPr="00A92233" w:rsidRDefault="00FD7080" w:rsidP="00303EC3">
      <w:pPr>
        <w:rPr>
          <w:lang w:val="en-GB" w:bidi="ar-SA"/>
        </w:rPr>
      </w:pPr>
      <w:r w:rsidRPr="00A92233">
        <w:rPr>
          <w:lang w:val="en-GB" w:bidi="ar-SA"/>
        </w:rPr>
        <w:t>DHA-B</w:t>
      </w:r>
      <w:r w:rsidR="00303EC3" w:rsidRPr="00A92233">
        <w:rPr>
          <w:lang w:val="en-GB" w:bidi="ar-SA"/>
        </w:rPr>
        <w:t xml:space="preserve">, extracted with water, was confirmed to be bioequivalent to DHASCO® in piglets in a three-week study, and no adverse effects of consumption were found. The calculated mean intakes of DHA from </w:t>
      </w:r>
      <w:r w:rsidRPr="00A92233">
        <w:rPr>
          <w:lang w:val="en-GB" w:bidi="ar-SA"/>
        </w:rPr>
        <w:t>DHA-B</w:t>
      </w:r>
      <w:r w:rsidR="00303EC3" w:rsidRPr="00A92233">
        <w:rPr>
          <w:lang w:val="en-GB" w:bidi="ar-SA"/>
        </w:rPr>
        <w:t xml:space="preserve"> corresponded to between 1.9 and 5.8-fold the estimated mean DHA intake of formula-fed human infants</w:t>
      </w:r>
      <w:r w:rsidR="00413628" w:rsidRPr="00A92233">
        <w:rPr>
          <w:lang w:val="en-GB" w:bidi="ar-SA"/>
        </w:rPr>
        <w:t>.</w:t>
      </w:r>
    </w:p>
    <w:p w14:paraId="24E0CF17" w14:textId="77777777" w:rsidR="00303EC3" w:rsidRPr="00A92233" w:rsidRDefault="00303EC3" w:rsidP="00303EC3">
      <w:pPr>
        <w:rPr>
          <w:color w:val="31849B" w:themeColor="accent5" w:themeShade="BF"/>
          <w:lang w:val="en-GB" w:bidi="ar-SA"/>
        </w:rPr>
      </w:pPr>
    </w:p>
    <w:p w14:paraId="5F7569EA" w14:textId="390AECC8" w:rsidR="00303EC3" w:rsidRPr="00A92233" w:rsidRDefault="00303EC3" w:rsidP="00303EC3">
      <w:pPr>
        <w:rPr>
          <w:lang w:val="en-GB" w:bidi="ar-SA"/>
        </w:rPr>
      </w:pPr>
      <w:r w:rsidRPr="00A92233">
        <w:rPr>
          <w:lang w:val="en-GB" w:bidi="ar-SA"/>
        </w:rPr>
        <w:t>No carcinogenicity studies of</w:t>
      </w:r>
      <w:r w:rsidRPr="00A92233">
        <w:rPr>
          <w:i/>
          <w:lang w:val="en-GB" w:bidi="ar-SA"/>
        </w:rPr>
        <w:t xml:space="preserve"> Schizochytrium</w:t>
      </w:r>
      <w:r w:rsidRPr="00A92233">
        <w:rPr>
          <w:lang w:val="en-GB" w:bidi="ar-SA"/>
        </w:rPr>
        <w:t xml:space="preserve">, or of </w:t>
      </w:r>
      <w:r w:rsidR="00FD7080" w:rsidRPr="00A92233">
        <w:rPr>
          <w:lang w:val="en-GB" w:bidi="ar-SA"/>
        </w:rPr>
        <w:t>DHA-B</w:t>
      </w:r>
      <w:r w:rsidRPr="00A92233">
        <w:rPr>
          <w:lang w:val="en-GB" w:bidi="ar-SA"/>
        </w:rPr>
        <w:t>, in experimental animals are available. A carcinogenicity study is not considered to be necessary because there was a lack of evidence of genotoxicity, and because no dose-related proliferative lesions were found in subchronic repeat-dose studies.</w:t>
      </w:r>
    </w:p>
    <w:p w14:paraId="366D1791" w14:textId="77777777" w:rsidR="00303EC3" w:rsidRPr="00A92233" w:rsidRDefault="00303EC3" w:rsidP="00303EC3">
      <w:pPr>
        <w:rPr>
          <w:color w:val="31849B" w:themeColor="accent5" w:themeShade="BF"/>
          <w:lang w:val="en-GB" w:bidi="ar-SA"/>
        </w:rPr>
      </w:pPr>
    </w:p>
    <w:p w14:paraId="0464CDFF" w14:textId="414D9F75" w:rsidR="00303EC3" w:rsidRPr="00A92233" w:rsidRDefault="00303EC3" w:rsidP="00822559">
      <w:pPr>
        <w:keepNext/>
        <w:keepLines/>
        <w:rPr>
          <w:lang w:val="en-GB" w:bidi="ar-SA"/>
        </w:rPr>
      </w:pPr>
      <w:r w:rsidRPr="00A92233">
        <w:rPr>
          <w:lang w:val="en-GB" w:bidi="ar-SA"/>
        </w:rPr>
        <w:t xml:space="preserve">It is noteworthy that </w:t>
      </w:r>
      <w:r w:rsidRPr="00A92233">
        <w:rPr>
          <w:i/>
          <w:lang w:val="en-GB" w:bidi="ar-SA"/>
        </w:rPr>
        <w:t>Schizochytrium</w:t>
      </w:r>
      <w:r w:rsidRPr="00A92233">
        <w:rPr>
          <w:lang w:val="en-GB" w:bidi="ar-SA"/>
        </w:rPr>
        <w:t xml:space="preserve"> species are components of the human diet through consumption of shellfish, and that there are no known toxic compounds synthesi</w:t>
      </w:r>
      <w:r w:rsidR="00C94E0D" w:rsidRPr="00A92233">
        <w:rPr>
          <w:lang w:val="en-GB" w:bidi="ar-SA"/>
        </w:rPr>
        <w:t>s</w:t>
      </w:r>
      <w:r w:rsidRPr="00A92233">
        <w:rPr>
          <w:lang w:val="en-GB" w:bidi="ar-SA"/>
        </w:rPr>
        <w:t>ed by any thraustochytrid micro</w:t>
      </w:r>
      <w:r w:rsidR="0045057C" w:rsidRPr="00A92233">
        <w:rPr>
          <w:lang w:val="en-GB" w:bidi="ar-SA"/>
        </w:rPr>
        <w:t>-</w:t>
      </w:r>
      <w:r w:rsidRPr="00A92233">
        <w:rPr>
          <w:lang w:val="en-GB" w:bidi="ar-SA"/>
        </w:rPr>
        <w:t>algae.</w:t>
      </w:r>
      <w:r w:rsidR="00822559" w:rsidRPr="00A92233">
        <w:rPr>
          <w:lang w:val="en-GB" w:bidi="ar-SA"/>
        </w:rPr>
        <w:t xml:space="preserve"> </w:t>
      </w:r>
    </w:p>
    <w:p w14:paraId="732A856D" w14:textId="77777777" w:rsidR="00822559" w:rsidRPr="00A92233" w:rsidRDefault="00822559" w:rsidP="00822559">
      <w:pPr>
        <w:keepNext/>
        <w:keepLines/>
        <w:rPr>
          <w:color w:val="31849B" w:themeColor="accent5" w:themeShade="BF"/>
          <w:lang w:val="en-GB" w:bidi="ar-SA"/>
        </w:rPr>
      </w:pPr>
    </w:p>
    <w:p w14:paraId="2A3F57BA" w14:textId="020B49BD" w:rsidR="00303EC3" w:rsidRPr="00A92233" w:rsidRDefault="00303EC3" w:rsidP="00303EC3">
      <w:pPr>
        <w:rPr>
          <w:lang w:val="en-GB" w:bidi="ar-SA"/>
        </w:rPr>
      </w:pPr>
      <w:r w:rsidRPr="00A92233">
        <w:rPr>
          <w:lang w:val="en-GB" w:bidi="ar-SA"/>
        </w:rPr>
        <w:t>The US</w:t>
      </w:r>
      <w:r w:rsidR="00A92233">
        <w:rPr>
          <w:lang w:val="en-GB" w:bidi="ar-SA"/>
        </w:rPr>
        <w:t xml:space="preserve"> </w:t>
      </w:r>
      <w:r w:rsidRPr="00A92233">
        <w:rPr>
          <w:lang w:val="en-GB" w:bidi="ar-SA"/>
        </w:rPr>
        <w:t xml:space="preserve">FDA has observed no increases in the incidence of adverse gastrointestinal events in infants over the time during which DHA supplementation of infant formula has become commonplace. </w:t>
      </w:r>
    </w:p>
    <w:p w14:paraId="5799E843" w14:textId="3BA26902" w:rsidR="00303EC3" w:rsidRPr="00A76FA6" w:rsidRDefault="002B507B" w:rsidP="0029539A">
      <w:pPr>
        <w:pStyle w:val="Heading2"/>
      </w:pPr>
      <w:bookmarkStart w:id="62" w:name="_Toc176607092"/>
      <w:bookmarkStart w:id="63" w:name="_Toc176607469"/>
      <w:bookmarkStart w:id="64" w:name="_Toc176936977"/>
      <w:bookmarkStart w:id="65" w:name="_Toc196808186"/>
      <w:bookmarkStart w:id="66" w:name="_Toc197495445"/>
      <w:bookmarkStart w:id="67" w:name="_Toc456609503"/>
      <w:bookmarkStart w:id="68" w:name="_Toc457821690"/>
      <w:bookmarkStart w:id="69" w:name="_Toc464129787"/>
      <w:r w:rsidRPr="00FE490D">
        <w:t>3.</w:t>
      </w:r>
      <w:r w:rsidR="003B7017">
        <w:t>7</w:t>
      </w:r>
      <w:r w:rsidR="0001282A" w:rsidRPr="00A76FA6">
        <w:tab/>
      </w:r>
      <w:r w:rsidRPr="00A76FA6">
        <w:t xml:space="preserve">Hazard assessment </w:t>
      </w:r>
      <w:bookmarkEnd w:id="62"/>
      <w:bookmarkEnd w:id="63"/>
      <w:bookmarkEnd w:id="64"/>
      <w:bookmarkEnd w:id="65"/>
      <w:bookmarkEnd w:id="66"/>
      <w:bookmarkEnd w:id="67"/>
      <w:bookmarkEnd w:id="68"/>
      <w:r w:rsidRPr="00A76FA6">
        <w:t>c</w:t>
      </w:r>
      <w:r w:rsidR="00303EC3" w:rsidRPr="00A76FA6">
        <w:t>onclusions</w:t>
      </w:r>
      <w:bookmarkEnd w:id="69"/>
    </w:p>
    <w:p w14:paraId="524A2E99" w14:textId="1D71A353" w:rsidR="00303EC3" w:rsidRPr="00A92233" w:rsidRDefault="00303EC3" w:rsidP="009C4314">
      <w:pPr>
        <w:rPr>
          <w:rFonts w:cs="Arial"/>
          <w:szCs w:val="22"/>
          <w:lang w:val="en-GB" w:bidi="ar-SA"/>
        </w:rPr>
      </w:pPr>
      <w:r w:rsidRPr="00A92233">
        <w:rPr>
          <w:lang w:val="en-GB" w:bidi="ar-SA"/>
        </w:rPr>
        <w:t xml:space="preserve">The submitted data are considered adequate to define the hazard of </w:t>
      </w:r>
      <w:r w:rsidR="00FD7080" w:rsidRPr="00A92233">
        <w:rPr>
          <w:lang w:val="en-GB" w:bidi="ar-SA"/>
        </w:rPr>
        <w:t>DHA-B</w:t>
      </w:r>
      <w:r w:rsidRPr="00A92233">
        <w:rPr>
          <w:lang w:val="en-GB" w:bidi="ar-SA"/>
        </w:rPr>
        <w:t xml:space="preserve">. </w:t>
      </w:r>
      <w:r w:rsidRPr="00A92233">
        <w:rPr>
          <w:rFonts w:cs="Arial"/>
          <w:szCs w:val="22"/>
          <w:lang w:val="en-GB" w:bidi="ar-SA"/>
        </w:rPr>
        <w:t xml:space="preserve">No evidence was found of risk of genotoxicity, reproductive or developmental toxicity, or toxicity as a consequence of subchronic dietary consumption of either dried </w:t>
      </w:r>
      <w:r w:rsidRPr="00A92233">
        <w:rPr>
          <w:i/>
          <w:lang w:val="en-GB" w:bidi="ar-SA"/>
        </w:rPr>
        <w:t>Schizochytrium</w:t>
      </w:r>
      <w:r w:rsidRPr="00A92233">
        <w:rPr>
          <w:rFonts w:cs="Arial"/>
          <w:szCs w:val="22"/>
          <w:lang w:val="en-GB" w:bidi="ar-SA"/>
        </w:rPr>
        <w:t xml:space="preserve"> or </w:t>
      </w:r>
      <w:r w:rsidR="00FD7080" w:rsidRPr="00A92233">
        <w:rPr>
          <w:rFonts w:cs="Arial"/>
          <w:szCs w:val="22"/>
          <w:lang w:val="en-GB" w:bidi="ar-SA"/>
        </w:rPr>
        <w:t>DHA-B</w:t>
      </w:r>
      <w:r w:rsidRPr="00A92233">
        <w:rPr>
          <w:rFonts w:cs="Arial"/>
          <w:szCs w:val="22"/>
          <w:lang w:val="en-GB" w:bidi="ar-SA"/>
        </w:rPr>
        <w:t xml:space="preserve"> by experimental animals. </w:t>
      </w:r>
      <w:r w:rsidR="00FD7080" w:rsidRPr="00A92233">
        <w:rPr>
          <w:rFonts w:cs="Arial"/>
          <w:szCs w:val="22"/>
          <w:lang w:val="en-GB" w:bidi="ar-SA"/>
        </w:rPr>
        <w:t>DHA-B</w:t>
      </w:r>
      <w:r w:rsidRPr="00A92233">
        <w:rPr>
          <w:rFonts w:cs="Arial"/>
          <w:szCs w:val="22"/>
          <w:lang w:val="en-GB" w:bidi="ar-SA"/>
        </w:rPr>
        <w:t xml:space="preserve"> was found to be bioequivalent to DHASCO</w:t>
      </w:r>
      <w:r w:rsidRPr="00A92233">
        <w:rPr>
          <w:rFonts w:cs="Arial"/>
          <w:szCs w:val="22"/>
          <w:vertAlign w:val="superscript"/>
          <w:lang w:val="en-GB" w:bidi="ar-SA"/>
        </w:rPr>
        <w:t>®</w:t>
      </w:r>
      <w:r w:rsidRPr="00A92233">
        <w:rPr>
          <w:rFonts w:cs="Arial"/>
          <w:szCs w:val="22"/>
          <w:lang w:val="en-GB" w:bidi="ar-SA"/>
        </w:rPr>
        <w:t xml:space="preserve"> and to have no adverse effects in baby piglets at consumption levels higher than those likely to occur in formula-fed infants.</w:t>
      </w:r>
    </w:p>
    <w:p w14:paraId="02EA957A" w14:textId="77777777" w:rsidR="00303EC3" w:rsidRPr="00A92233" w:rsidRDefault="00303EC3" w:rsidP="00303EC3">
      <w:pPr>
        <w:widowControl/>
        <w:rPr>
          <w:rFonts w:cs="Arial"/>
          <w:color w:val="31849B" w:themeColor="accent5" w:themeShade="BF"/>
          <w:szCs w:val="22"/>
          <w:lang w:val="en-GB" w:bidi="ar-SA"/>
        </w:rPr>
      </w:pPr>
    </w:p>
    <w:p w14:paraId="188C8086" w14:textId="5DDD9C3E" w:rsidR="00A6245D" w:rsidRPr="00A92233" w:rsidRDefault="00303EC3" w:rsidP="00303EC3">
      <w:pPr>
        <w:rPr>
          <w:lang w:val="en-GB"/>
        </w:rPr>
      </w:pPr>
      <w:r w:rsidRPr="00A92233">
        <w:rPr>
          <w:lang w:val="en-GB"/>
        </w:rPr>
        <w:t xml:space="preserve">The submitted data support the conclusion that </w:t>
      </w:r>
      <w:r w:rsidR="00FD7080" w:rsidRPr="00A92233">
        <w:rPr>
          <w:lang w:val="en-GB"/>
        </w:rPr>
        <w:t>DHA-B</w:t>
      </w:r>
      <w:r w:rsidRPr="00A92233">
        <w:rPr>
          <w:lang w:val="en-GB"/>
        </w:rPr>
        <w:t xml:space="preserve"> </w:t>
      </w:r>
      <w:r w:rsidR="004B7146" w:rsidRPr="00A92233">
        <w:rPr>
          <w:lang w:val="en-GB"/>
        </w:rPr>
        <w:t xml:space="preserve">does not pose a risk </w:t>
      </w:r>
      <w:r w:rsidR="00F77724" w:rsidRPr="00A92233">
        <w:rPr>
          <w:lang w:val="en-GB"/>
        </w:rPr>
        <w:t xml:space="preserve">to infant health and safety when used </w:t>
      </w:r>
      <w:r w:rsidR="004B7146" w:rsidRPr="00A92233">
        <w:rPr>
          <w:lang w:val="en-GB"/>
        </w:rPr>
        <w:t>as a source of DHA for supplementation of infant formula products</w:t>
      </w:r>
      <w:r w:rsidR="000D3C9A" w:rsidRPr="00A92233">
        <w:rPr>
          <w:lang w:val="en-GB"/>
        </w:rPr>
        <w:t>.</w:t>
      </w:r>
    </w:p>
    <w:p w14:paraId="5D14D2BC" w14:textId="6E58B677" w:rsidR="00A87507" w:rsidRPr="00A92233" w:rsidRDefault="00622CF8" w:rsidP="00A92233">
      <w:pPr>
        <w:pStyle w:val="Heading1"/>
        <w:rPr>
          <w:lang w:val="en-GB" w:eastAsia="en-AU"/>
        </w:rPr>
      </w:pPr>
      <w:bookmarkStart w:id="70" w:name="_Toc464129788"/>
      <w:r w:rsidRPr="00A92233">
        <w:rPr>
          <w:lang w:val="en-GB"/>
        </w:rPr>
        <w:t>4</w:t>
      </w:r>
      <w:r w:rsidRPr="00A92233">
        <w:rPr>
          <w:lang w:val="en-GB"/>
        </w:rPr>
        <w:tab/>
      </w:r>
      <w:r w:rsidR="004128F1" w:rsidRPr="00A92233">
        <w:rPr>
          <w:lang w:val="en-GB"/>
        </w:rPr>
        <w:t>N</w:t>
      </w:r>
      <w:r w:rsidR="00BE3399">
        <w:rPr>
          <w:lang w:val="en-GB"/>
        </w:rPr>
        <w:t>utrition a</w:t>
      </w:r>
      <w:r w:rsidRPr="00A92233">
        <w:rPr>
          <w:lang w:val="en-GB"/>
        </w:rPr>
        <w:t>ssessment</w:t>
      </w:r>
      <w:bookmarkEnd w:id="70"/>
    </w:p>
    <w:p w14:paraId="7C4A5B3D" w14:textId="2E68EA18" w:rsidR="000C3BED" w:rsidRPr="00A76FA6" w:rsidRDefault="000C3BED" w:rsidP="0029539A">
      <w:pPr>
        <w:pStyle w:val="Heading2"/>
      </w:pPr>
      <w:bookmarkStart w:id="71" w:name="_Toc464129789"/>
      <w:r w:rsidRPr="00FE490D">
        <w:t>4</w:t>
      </w:r>
      <w:r w:rsidR="007D1D6B" w:rsidRPr="00A76FA6">
        <w:t>.</w:t>
      </w:r>
      <w:r w:rsidR="00A7045B" w:rsidRPr="00A76FA6">
        <w:t>1</w:t>
      </w:r>
      <w:r w:rsidR="0001282A" w:rsidRPr="00A76FA6">
        <w:tab/>
      </w:r>
      <w:r w:rsidRPr="00A76FA6">
        <w:t>Essential fatty acids</w:t>
      </w:r>
      <w:bookmarkEnd w:id="71"/>
    </w:p>
    <w:p w14:paraId="6B37A712" w14:textId="794282E6" w:rsidR="000C3BED" w:rsidRPr="00A92233" w:rsidRDefault="000C3BED" w:rsidP="000C3BED">
      <w:pPr>
        <w:rPr>
          <w:rFonts w:eastAsia="Arial Unicode MS"/>
          <w:lang w:val="en-GB" w:bidi="ar-SA"/>
        </w:rPr>
      </w:pPr>
      <w:r w:rsidRPr="00A92233">
        <w:rPr>
          <w:lang w:val="en-GB" w:eastAsia="en-AU"/>
        </w:rPr>
        <w:t xml:space="preserve">Linoleic acid </w:t>
      </w:r>
      <w:r w:rsidR="00F10110" w:rsidRPr="00A92233">
        <w:rPr>
          <w:lang w:val="en-GB" w:eastAsia="en-AU"/>
        </w:rPr>
        <w:t xml:space="preserve">(LA) </w:t>
      </w:r>
      <w:r w:rsidRPr="00A92233">
        <w:rPr>
          <w:rFonts w:eastAsia="Arial Unicode MS"/>
          <w:szCs w:val="22"/>
          <w:lang w:val="en-GB" w:bidi="ar-SA"/>
        </w:rPr>
        <w:t xml:space="preserve">and </w:t>
      </w:r>
      <w:r w:rsidRPr="00A92233">
        <w:rPr>
          <w:lang w:val="en-GB" w:eastAsia="en-AU"/>
        </w:rPr>
        <w:t xml:space="preserve">α-linolenic acid </w:t>
      </w:r>
      <w:r w:rsidR="00F10110" w:rsidRPr="00A92233">
        <w:rPr>
          <w:lang w:val="en-GB" w:eastAsia="en-AU"/>
        </w:rPr>
        <w:t xml:space="preserve">(ALA) </w:t>
      </w:r>
      <w:r w:rsidRPr="00A92233">
        <w:rPr>
          <w:rFonts w:eastAsia="Arial Unicode MS"/>
          <w:szCs w:val="22"/>
          <w:lang w:val="en-GB" w:bidi="ar-SA"/>
        </w:rPr>
        <w:t xml:space="preserve">are essential fatty acids that are metabolised, respectively, to </w:t>
      </w:r>
      <w:r w:rsidR="0011176B" w:rsidRPr="00A92233">
        <w:rPr>
          <w:rFonts w:eastAsia="Arial Unicode MS"/>
          <w:szCs w:val="22"/>
          <w:lang w:val="en-GB" w:bidi="ar-SA"/>
        </w:rPr>
        <w:t>n</w:t>
      </w:r>
      <w:r w:rsidRPr="00A92233">
        <w:rPr>
          <w:rFonts w:eastAsia="Arial Unicode MS"/>
          <w:szCs w:val="22"/>
          <w:lang w:val="en-GB" w:bidi="ar-SA"/>
        </w:rPr>
        <w:t xml:space="preserve">-6 and </w:t>
      </w:r>
      <w:r w:rsidR="0011176B" w:rsidRPr="00A92233">
        <w:rPr>
          <w:rFonts w:eastAsia="Arial Unicode MS"/>
          <w:szCs w:val="22"/>
          <w:lang w:val="en-GB" w:bidi="ar-SA"/>
        </w:rPr>
        <w:t>n</w:t>
      </w:r>
      <w:r w:rsidRPr="00A92233">
        <w:rPr>
          <w:rFonts w:eastAsia="Arial Unicode MS"/>
          <w:szCs w:val="22"/>
          <w:lang w:val="en-GB" w:bidi="ar-SA"/>
        </w:rPr>
        <w:t xml:space="preserve">-3 LC-PUFAs </w:t>
      </w:r>
      <w:r w:rsidRPr="00A92233">
        <w:rPr>
          <w:rFonts w:eastAsia="Arial Unicode MS"/>
          <w:noProof/>
          <w:szCs w:val="22"/>
          <w:lang w:val="en-GB" w:bidi="ar-SA"/>
        </w:rPr>
        <w:t>(Koletzko et al. 2008; Agostoni 2008)</w:t>
      </w:r>
      <w:r w:rsidRPr="00A92233">
        <w:rPr>
          <w:rFonts w:eastAsia="Arial Unicode MS"/>
          <w:szCs w:val="22"/>
          <w:lang w:val="en-GB" w:bidi="ar-SA"/>
        </w:rPr>
        <w:t xml:space="preserve">. </w:t>
      </w:r>
      <w:r w:rsidR="00F10110" w:rsidRPr="00A92233">
        <w:rPr>
          <w:lang w:val="en-GB"/>
        </w:rPr>
        <w:t xml:space="preserve">Humans cannot interconvert n-6 and n-3 fatty acids (including LC-PUFA), and so a dietary imbalance in these fatty acids can potentially result in a state of nutritional insufficiency. </w:t>
      </w:r>
      <w:r w:rsidRPr="00A92233">
        <w:rPr>
          <w:rFonts w:eastAsia="Arial Unicode MS"/>
          <w:lang w:val="en-GB" w:bidi="ar-SA"/>
        </w:rPr>
        <w:t>Amounts of LA and ALA must be balanced since the metabolic conversions of LA to</w:t>
      </w:r>
      <w:r w:rsidR="004A4D0D" w:rsidRPr="00A92233">
        <w:rPr>
          <w:rFonts w:eastAsia="Arial Unicode MS"/>
          <w:lang w:val="en-GB" w:bidi="ar-SA"/>
        </w:rPr>
        <w:t xml:space="preserve"> arachidonic acid</w:t>
      </w:r>
      <w:r w:rsidRPr="00A92233">
        <w:rPr>
          <w:rFonts w:eastAsia="Arial Unicode MS"/>
          <w:lang w:val="en-GB" w:bidi="ar-SA"/>
        </w:rPr>
        <w:t xml:space="preserve"> </w:t>
      </w:r>
      <w:r w:rsidR="004A4D0D" w:rsidRPr="00A92233">
        <w:rPr>
          <w:rFonts w:eastAsia="Arial Unicode MS"/>
          <w:lang w:val="en-GB" w:bidi="ar-SA"/>
        </w:rPr>
        <w:t>(</w:t>
      </w:r>
      <w:r w:rsidRPr="00A92233">
        <w:rPr>
          <w:rFonts w:eastAsia="Arial Unicode MS"/>
          <w:lang w:val="en-GB" w:bidi="ar-SA"/>
        </w:rPr>
        <w:t>A</w:t>
      </w:r>
      <w:r w:rsidR="004462D3" w:rsidRPr="00A92233">
        <w:rPr>
          <w:rFonts w:eastAsia="Arial Unicode MS"/>
          <w:lang w:val="en-GB" w:bidi="ar-SA"/>
        </w:rPr>
        <w:t>R</w:t>
      </w:r>
      <w:r w:rsidRPr="00A92233">
        <w:rPr>
          <w:rFonts w:eastAsia="Arial Unicode MS"/>
          <w:lang w:val="en-GB" w:bidi="ar-SA"/>
        </w:rPr>
        <w:t>A</w:t>
      </w:r>
      <w:r w:rsidR="004A4D0D" w:rsidRPr="00A92233">
        <w:rPr>
          <w:rFonts w:eastAsia="Arial Unicode MS"/>
          <w:lang w:val="en-GB" w:bidi="ar-SA"/>
        </w:rPr>
        <w:t>)</w:t>
      </w:r>
      <w:r w:rsidRPr="00A92233">
        <w:rPr>
          <w:rFonts w:eastAsia="Arial Unicode MS"/>
          <w:lang w:val="en-GB" w:bidi="ar-SA"/>
        </w:rPr>
        <w:t xml:space="preserve">, </w:t>
      </w:r>
      <w:r w:rsidR="004A4D0D" w:rsidRPr="00A92233">
        <w:rPr>
          <w:rFonts w:eastAsia="Arial Unicode MS"/>
          <w:lang w:val="en-GB" w:bidi="ar-SA"/>
        </w:rPr>
        <w:t xml:space="preserve">an n-6 LC-PUFA, </w:t>
      </w:r>
      <w:r w:rsidRPr="00A92233">
        <w:rPr>
          <w:rFonts w:eastAsia="Arial Unicode MS"/>
          <w:lang w:val="en-GB" w:bidi="ar-SA"/>
        </w:rPr>
        <w:t>and ALA to DHA utilise the same enzymatic pathways.</w:t>
      </w:r>
      <w:r w:rsidR="00FE4B99" w:rsidRPr="00A92233">
        <w:rPr>
          <w:rFonts w:eastAsia="Arial Unicode MS"/>
          <w:lang w:val="en-GB" w:bidi="ar-SA"/>
        </w:rPr>
        <w:t xml:space="preserve"> </w:t>
      </w:r>
    </w:p>
    <w:p w14:paraId="473C653D" w14:textId="77777777" w:rsidR="00470A8D" w:rsidRPr="00A92233" w:rsidRDefault="00470A8D" w:rsidP="000C3BED">
      <w:pPr>
        <w:rPr>
          <w:rFonts w:eastAsia="Arial Unicode MS"/>
          <w:lang w:val="en-GB" w:bidi="ar-SA"/>
        </w:rPr>
      </w:pPr>
    </w:p>
    <w:p w14:paraId="51114893" w14:textId="71C07FDA" w:rsidR="00BE3399" w:rsidRDefault="000C3BED" w:rsidP="000C3BED">
      <w:pPr>
        <w:rPr>
          <w:rFonts w:eastAsia="Arial Unicode MS"/>
          <w:lang w:val="en-GB" w:bidi="ar-SA"/>
        </w:rPr>
      </w:pPr>
      <w:r w:rsidRPr="00A92233">
        <w:rPr>
          <w:rFonts w:eastAsia="Arial Unicode MS"/>
          <w:lang w:val="en-GB" w:bidi="ar-SA"/>
        </w:rPr>
        <w:t xml:space="preserve">The biosynthesis of </w:t>
      </w:r>
      <w:r w:rsidR="00A7045B" w:rsidRPr="00A92233">
        <w:rPr>
          <w:rFonts w:eastAsia="Arial Unicode MS"/>
          <w:lang w:val="en-GB" w:bidi="ar-SA"/>
        </w:rPr>
        <w:t>n-3 and n</w:t>
      </w:r>
      <w:r w:rsidRPr="00A92233">
        <w:rPr>
          <w:rFonts w:eastAsia="Arial Unicode MS"/>
          <w:lang w:val="en-GB" w:bidi="ar-SA"/>
        </w:rPr>
        <w:t>-6 L</w:t>
      </w:r>
      <w:r w:rsidR="00580DE2" w:rsidRPr="00A92233">
        <w:rPr>
          <w:rFonts w:eastAsia="Arial Unicode MS"/>
          <w:lang w:val="en-GB" w:bidi="ar-SA"/>
        </w:rPr>
        <w:t>C</w:t>
      </w:r>
      <w:r w:rsidR="00A7045B" w:rsidRPr="00A92233">
        <w:rPr>
          <w:rFonts w:eastAsia="Arial Unicode MS"/>
          <w:lang w:val="en-GB" w:bidi="ar-SA"/>
        </w:rPr>
        <w:t>-</w:t>
      </w:r>
      <w:r w:rsidR="00580DE2" w:rsidRPr="00A92233">
        <w:rPr>
          <w:rFonts w:eastAsia="Arial Unicode MS"/>
          <w:lang w:val="en-GB" w:bidi="ar-SA"/>
        </w:rPr>
        <w:t>PUFA</w:t>
      </w:r>
      <w:r w:rsidRPr="00A92233">
        <w:rPr>
          <w:rFonts w:eastAsia="Arial Unicode MS"/>
          <w:lang w:val="en-GB" w:bidi="ar-SA"/>
        </w:rPr>
        <w:t xml:space="preserve"> from their precursors is shown in Figure </w:t>
      </w:r>
      <w:r w:rsidR="00A92233">
        <w:rPr>
          <w:rFonts w:eastAsia="Arial Unicode MS"/>
          <w:lang w:val="en-GB" w:bidi="ar-SA"/>
        </w:rPr>
        <w:t>4.</w:t>
      </w:r>
      <w:r w:rsidRPr="00A92233">
        <w:rPr>
          <w:rFonts w:eastAsia="Arial Unicode MS"/>
          <w:lang w:val="en-GB" w:bidi="ar-SA"/>
        </w:rPr>
        <w:t xml:space="preserve">1. The rate determining first step uses </w:t>
      </w:r>
      <w:r w:rsidRPr="00A92233">
        <w:rPr>
          <w:rFonts w:eastAsia="Arial Unicode MS" w:cs="Arial"/>
          <w:lang w:val="en-GB" w:bidi="ar-SA"/>
        </w:rPr>
        <w:t>∆-</w:t>
      </w:r>
      <w:r w:rsidRPr="00A92233">
        <w:rPr>
          <w:rFonts w:eastAsia="Arial Unicode MS"/>
          <w:lang w:val="en-GB" w:bidi="ar-SA"/>
        </w:rPr>
        <w:t xml:space="preserve">6-desaturase enzyme to insert a double bond between carbons 6 and 7 for linoleic and </w:t>
      </w:r>
      <w:r w:rsidRPr="00A92233">
        <w:rPr>
          <w:rFonts w:eastAsia="Arial Unicode MS" w:cs="Arial"/>
          <w:lang w:val="en-GB" w:bidi="ar-SA"/>
        </w:rPr>
        <w:t>α</w:t>
      </w:r>
      <w:r w:rsidRPr="00A92233">
        <w:rPr>
          <w:rFonts w:eastAsia="Arial Unicode MS"/>
          <w:lang w:val="en-GB" w:bidi="ar-SA"/>
        </w:rPr>
        <w:t xml:space="preserve">-linolenic acid. The desaturation is followed by the addition of two carbon atoms to form 20:4n-3 and 20:3n-6 fatty acids respectively and then these fatty acids are desaturated at carbon 5 by the </w:t>
      </w:r>
      <w:r w:rsidRPr="00A92233">
        <w:rPr>
          <w:rFonts w:eastAsia="Arial Unicode MS" w:cs="Arial"/>
          <w:lang w:val="en-GB" w:bidi="ar-SA"/>
        </w:rPr>
        <w:t>∆</w:t>
      </w:r>
      <w:r w:rsidRPr="00A92233">
        <w:rPr>
          <w:rFonts w:eastAsia="Arial Unicode MS"/>
          <w:lang w:val="en-GB" w:bidi="ar-SA"/>
        </w:rPr>
        <w:t xml:space="preserve">-5- desaturase enzyme, forming arachidonic acid and </w:t>
      </w:r>
      <w:r w:rsidR="00580DE2" w:rsidRPr="00A92233">
        <w:rPr>
          <w:rFonts w:eastAsia="Arial Unicode MS"/>
          <w:lang w:val="en-GB" w:bidi="ar-SA"/>
        </w:rPr>
        <w:t>EPA</w:t>
      </w:r>
      <w:r w:rsidRPr="00A92233">
        <w:rPr>
          <w:rFonts w:eastAsia="Arial Unicode MS"/>
          <w:lang w:val="en-GB" w:bidi="ar-SA"/>
        </w:rPr>
        <w:t xml:space="preserve"> respectively. These fatty acids are then sequentially elongated to generate 24:5n-3 and 24:4n-6 long chain fatty acids. The action of </w:t>
      </w:r>
      <w:r w:rsidRPr="00A92233">
        <w:rPr>
          <w:rFonts w:eastAsia="Arial Unicode MS" w:cs="Arial"/>
          <w:lang w:val="en-GB" w:bidi="ar-SA"/>
        </w:rPr>
        <w:t>∆</w:t>
      </w:r>
      <w:r w:rsidRPr="00A92233">
        <w:rPr>
          <w:rFonts w:eastAsia="Arial Unicode MS"/>
          <w:lang w:val="en-GB" w:bidi="ar-SA"/>
        </w:rPr>
        <w:t xml:space="preserve">-6-desaturase forms 24:6n-3 and 24:5n-6 fatty acids which undergo direct desaturation and elongation or the initial stages of </w:t>
      </w:r>
      <w:r w:rsidRPr="00A92233">
        <w:rPr>
          <w:rFonts w:eastAsia="Arial Unicode MS" w:cs="Arial"/>
          <w:lang w:val="en-GB" w:bidi="ar-SA"/>
        </w:rPr>
        <w:t>β</w:t>
      </w:r>
      <w:r w:rsidRPr="00A92233">
        <w:rPr>
          <w:rFonts w:eastAsia="Arial Unicode MS"/>
          <w:lang w:val="en-GB" w:bidi="ar-SA"/>
        </w:rPr>
        <w:t xml:space="preserve">-oxidation to form </w:t>
      </w:r>
      <w:r w:rsidR="00FA31C9">
        <w:rPr>
          <w:rFonts w:eastAsia="Arial Unicode MS"/>
          <w:lang w:val="en-GB" w:bidi="ar-SA"/>
        </w:rPr>
        <w:t>DHA</w:t>
      </w:r>
      <w:r w:rsidRPr="00A92233">
        <w:rPr>
          <w:rFonts w:eastAsia="Arial Unicode MS"/>
          <w:lang w:val="en-GB" w:bidi="ar-SA"/>
        </w:rPr>
        <w:t xml:space="preserve"> and 22:5n-6 (Lauritzen et al. 2001).</w:t>
      </w:r>
      <w:r w:rsidR="00BE3399">
        <w:rPr>
          <w:rFonts w:eastAsia="Arial Unicode MS"/>
          <w:lang w:val="en-GB" w:bidi="ar-SA"/>
        </w:rPr>
        <w:br w:type="page"/>
      </w:r>
    </w:p>
    <w:p w14:paraId="70A0A149" w14:textId="42BD5658" w:rsidR="009C4314" w:rsidRPr="00A92233" w:rsidRDefault="000C3BED" w:rsidP="00A92233">
      <w:pPr>
        <w:jc w:val="center"/>
        <w:rPr>
          <w:lang w:val="en-GB"/>
        </w:rPr>
      </w:pPr>
      <w:r w:rsidRPr="00DE5269">
        <w:rPr>
          <w:rFonts w:eastAsia="Arial Unicode MS"/>
          <w:noProof/>
          <w:lang w:val="en-GB" w:eastAsia="en-GB" w:bidi="ar-SA"/>
        </w:rPr>
        <w:lastRenderedPageBreak/>
        <w:drawing>
          <wp:inline distT="0" distB="0" distL="0" distR="0" wp14:anchorId="39DC4DCA" wp14:editId="1212F5A2">
            <wp:extent cx="5756744" cy="3729162"/>
            <wp:effectExtent l="0" t="0" r="0" b="5080"/>
            <wp:docPr id="37" name="Picture 37" descr="The biosynthesis of n-3 and n-6 LC-PUFA from their precursors is shown in Figure 1. The rate determining first step uses ∆-6-desaturase enzyme to insert a double bond between carbons 6 and 7 for linoleic and α-linolenic acid. The desaturation is followed by the addition of two carbon atoms to form 20:4n-3 and 20:3n-6 fatty acids respectively and then these fatty acids are desaturated at carbon 5 by the ∆-5- desaturase enzyme, forming arachidonic acid and EPA respectively. These fatty acids are then sequentially elongated to generate 24:5n-3 and 24:4n-6 long chain fatty acids. The action of ∆-6-desaturase forms 24:6n-3 and 24:5n-6 fatty acids which undergo direct desaturation and elongation or the initial stages of β-oxidation to form docosahexaenoic acid and 22:5n-6 (Lauritzen et al. 2001)." title="Major pathways for synthesis of LC-PUFA from LA and A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demi\Desktop\n-3, n-6 pathways (pic).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7313"/>
                    <a:stretch/>
                  </pic:blipFill>
                  <pic:spPr bwMode="auto">
                    <a:xfrm>
                      <a:off x="0" y="0"/>
                      <a:ext cx="5753100" cy="3726801"/>
                    </a:xfrm>
                    <a:prstGeom prst="rect">
                      <a:avLst/>
                    </a:prstGeom>
                    <a:noFill/>
                    <a:ln>
                      <a:noFill/>
                    </a:ln>
                    <a:extLst>
                      <a:ext uri="{53640926-AAD7-44D8-BBD7-CCE9431645EC}">
                        <a14:shadowObscured xmlns:a14="http://schemas.microsoft.com/office/drawing/2010/main"/>
                      </a:ext>
                    </a:extLst>
                  </pic:spPr>
                </pic:pic>
              </a:graphicData>
            </a:graphic>
          </wp:inline>
        </w:drawing>
      </w:r>
      <w:r w:rsidR="009C4314" w:rsidRPr="00A92233">
        <w:rPr>
          <w:i/>
          <w:lang w:val="en-GB"/>
        </w:rPr>
        <w:t xml:space="preserve">Figure </w:t>
      </w:r>
      <w:r w:rsidR="00A92233">
        <w:rPr>
          <w:i/>
          <w:lang w:val="en-GB"/>
        </w:rPr>
        <w:t>4.</w:t>
      </w:r>
      <w:r w:rsidR="009C4314" w:rsidRPr="00A92233">
        <w:rPr>
          <w:i/>
          <w:lang w:val="en-GB"/>
        </w:rPr>
        <w:fldChar w:fldCharType="begin"/>
      </w:r>
      <w:r w:rsidR="009C4314" w:rsidRPr="00A92233">
        <w:rPr>
          <w:i/>
          <w:lang w:val="en-GB"/>
        </w:rPr>
        <w:instrText xml:space="preserve"> SEQ Figure \* ARABIC </w:instrText>
      </w:r>
      <w:r w:rsidR="009C4314" w:rsidRPr="00A92233">
        <w:rPr>
          <w:i/>
          <w:lang w:val="en-GB"/>
        </w:rPr>
        <w:fldChar w:fldCharType="separate"/>
      </w:r>
      <w:r w:rsidR="00F51A52">
        <w:rPr>
          <w:i/>
          <w:noProof/>
          <w:lang w:val="en-GB"/>
        </w:rPr>
        <w:t>1</w:t>
      </w:r>
      <w:r w:rsidR="009C4314" w:rsidRPr="00A92233">
        <w:rPr>
          <w:i/>
          <w:lang w:val="en-GB"/>
        </w:rPr>
        <w:fldChar w:fldCharType="end"/>
      </w:r>
      <w:r w:rsidR="003B7017" w:rsidRPr="00A92233">
        <w:rPr>
          <w:i/>
          <w:lang w:val="en-GB"/>
        </w:rPr>
        <w:t xml:space="preserve">: </w:t>
      </w:r>
      <w:r w:rsidR="009C4314" w:rsidRPr="00A92233">
        <w:rPr>
          <w:i/>
          <w:lang w:val="en-GB"/>
        </w:rPr>
        <w:t>Major pathways for the synthesis of LC-PUFA from linoleic and α- linoleic acids</w:t>
      </w:r>
    </w:p>
    <w:p w14:paraId="1755ADD4" w14:textId="32E70653" w:rsidR="00470A8D" w:rsidRPr="00A92233" w:rsidRDefault="00470A8D" w:rsidP="00470A8D">
      <w:pPr>
        <w:rPr>
          <w:lang w:val="en-GB"/>
        </w:rPr>
      </w:pPr>
    </w:p>
    <w:p w14:paraId="43ABDA6B" w14:textId="1EEF7F92" w:rsidR="00470A8D" w:rsidRPr="00A92233" w:rsidRDefault="00470A8D" w:rsidP="00470A8D">
      <w:pPr>
        <w:rPr>
          <w:lang w:val="en-GB"/>
        </w:rPr>
      </w:pPr>
      <w:r w:rsidRPr="00A92233">
        <w:rPr>
          <w:rFonts w:eastAsia="Arial Unicode MS"/>
          <w:lang w:val="en-GB" w:bidi="ar-SA"/>
        </w:rPr>
        <w:t>Studies suggest that excessive LA compared to the ALA amount can affect n-3 LC-PUFA (DHA and EPA) synthesis (Makrides et al. 2000a; Wood et al. 2015). The imbalance is avoided by specifying the minimum and maximum ratios of LA: ALA or with addition of DHA. Standard 2.9.1 prescribes minimum amounts for LA and ALA.</w:t>
      </w:r>
    </w:p>
    <w:p w14:paraId="096A1ED9" w14:textId="64FDBE55" w:rsidR="000C3BED" w:rsidRPr="00A76FA6" w:rsidRDefault="00841D0C" w:rsidP="0029539A">
      <w:pPr>
        <w:pStyle w:val="Heading2"/>
      </w:pPr>
      <w:bookmarkStart w:id="72" w:name="_Toc464129790"/>
      <w:r w:rsidRPr="00FE490D">
        <w:t>4.</w:t>
      </w:r>
      <w:r w:rsidR="00A7045B" w:rsidRPr="00A76FA6">
        <w:t>2</w:t>
      </w:r>
      <w:r w:rsidR="0001282A" w:rsidRPr="00A76FA6">
        <w:tab/>
      </w:r>
      <w:r w:rsidR="00CB73A8" w:rsidRPr="00A76FA6">
        <w:t>L</w:t>
      </w:r>
      <w:r w:rsidR="000C3BED" w:rsidRPr="00A76FA6">
        <w:t>ong chain polyunsaturated fatty acids (LC-PUFA)</w:t>
      </w:r>
      <w:bookmarkEnd w:id="72"/>
    </w:p>
    <w:p w14:paraId="79E92F3B" w14:textId="2736F240" w:rsidR="00470A8D" w:rsidRPr="00A92233" w:rsidRDefault="00F10110" w:rsidP="00470A8D">
      <w:pPr>
        <w:rPr>
          <w:rFonts w:eastAsia="Arial Unicode MS"/>
          <w:lang w:val="en-GB" w:bidi="ar-SA"/>
        </w:rPr>
      </w:pPr>
      <w:r w:rsidRPr="00A92233">
        <w:rPr>
          <w:rFonts w:eastAsia="Arial Unicode MS"/>
          <w:szCs w:val="22"/>
          <w:lang w:val="en-GB" w:bidi="ar-SA"/>
        </w:rPr>
        <w:t>DHA and ARA</w:t>
      </w:r>
      <w:r w:rsidR="004A4D0D" w:rsidRPr="00A92233">
        <w:rPr>
          <w:rFonts w:eastAsia="Arial Unicode MS"/>
          <w:szCs w:val="22"/>
          <w:lang w:val="en-GB" w:bidi="ar-SA"/>
        </w:rPr>
        <w:t xml:space="preserve"> </w:t>
      </w:r>
      <w:r w:rsidRPr="00A92233">
        <w:rPr>
          <w:rFonts w:eastAsia="Arial Unicode MS"/>
          <w:szCs w:val="22"/>
          <w:lang w:val="en-GB" w:bidi="ar-SA"/>
        </w:rPr>
        <w:t xml:space="preserve">are the biologically active LC-PUFAs which may be present in infant formula. EPA, an n-3 LC-PUFA which may also be present in infant formula, is a precursor for cell signalling compounds called eicosanoids that control inflammatory, immunological, and other cellular responses. </w:t>
      </w:r>
      <w:r w:rsidR="009468EE" w:rsidRPr="00A92233">
        <w:rPr>
          <w:rFonts w:eastAsia="Arial Unicode MS"/>
          <w:lang w:val="en-GB" w:bidi="ar-SA"/>
        </w:rPr>
        <w:t xml:space="preserve">ARA (C20) </w:t>
      </w:r>
      <w:r w:rsidR="00470A8D" w:rsidRPr="00A92233">
        <w:rPr>
          <w:rFonts w:eastAsia="Arial Unicode MS"/>
          <w:lang w:val="en-GB" w:bidi="ar-SA"/>
        </w:rPr>
        <w:t xml:space="preserve">is present in cell membranes and is also a </w:t>
      </w:r>
      <w:r w:rsidR="009468EE" w:rsidRPr="00A92233">
        <w:rPr>
          <w:rFonts w:eastAsia="Arial Unicode MS"/>
          <w:lang w:val="en-GB" w:bidi="ar-SA"/>
        </w:rPr>
        <w:t xml:space="preserve">precursor </w:t>
      </w:r>
      <w:r w:rsidR="00470A8D" w:rsidRPr="00A92233">
        <w:rPr>
          <w:rFonts w:eastAsia="Arial Unicode MS"/>
          <w:lang w:val="en-GB" w:bidi="ar-SA"/>
        </w:rPr>
        <w:t xml:space="preserve">to eicosanoids that are required for normal cell functions. </w:t>
      </w:r>
      <w:r w:rsidR="009468EE" w:rsidRPr="00A92233">
        <w:rPr>
          <w:rFonts w:eastAsia="Arial Unicode MS"/>
          <w:lang w:val="en-GB" w:bidi="ar-SA"/>
        </w:rPr>
        <w:t>ARA concentrations</w:t>
      </w:r>
      <w:r w:rsidR="00470A8D" w:rsidRPr="00A92233">
        <w:rPr>
          <w:rFonts w:eastAsia="Arial Unicode MS"/>
          <w:lang w:val="en-GB" w:bidi="ar-SA"/>
        </w:rPr>
        <w:t xml:space="preserve"> in </w:t>
      </w:r>
      <w:r w:rsidR="005113A7">
        <w:rPr>
          <w:rFonts w:eastAsia="Arial Unicode MS"/>
          <w:lang w:val="en-GB" w:bidi="ar-SA"/>
        </w:rPr>
        <w:t>breast milk</w:t>
      </w:r>
      <w:r w:rsidR="00470A8D" w:rsidRPr="00A92233">
        <w:rPr>
          <w:rFonts w:eastAsia="Arial Unicode MS"/>
          <w:lang w:val="en-GB" w:bidi="ar-SA"/>
        </w:rPr>
        <w:t xml:space="preserve"> range from 0.24% to 1.0% of total fatty acids (FAs) (Brenna et al. 2007) (FSANZ 2007b) and vary to a lesser extent than DHA.</w:t>
      </w:r>
    </w:p>
    <w:p w14:paraId="464BCCA7" w14:textId="77777777" w:rsidR="009D0118" w:rsidRPr="00A92233" w:rsidRDefault="009D0118" w:rsidP="00470A8D">
      <w:pPr>
        <w:rPr>
          <w:rFonts w:eastAsia="Arial Unicode MS"/>
          <w:lang w:val="en-GB" w:bidi="ar-SA"/>
        </w:rPr>
      </w:pPr>
    </w:p>
    <w:p w14:paraId="48F65784" w14:textId="67D2CD3A" w:rsidR="009C4314" w:rsidRPr="00A92233" w:rsidRDefault="000C3BED" w:rsidP="009C4314">
      <w:pPr>
        <w:rPr>
          <w:rFonts w:eastAsia="Arial Unicode MS"/>
          <w:szCs w:val="22"/>
          <w:lang w:val="en-GB" w:bidi="ar-SA"/>
        </w:rPr>
      </w:pPr>
      <w:r w:rsidRPr="00A92233">
        <w:rPr>
          <w:rFonts w:eastAsia="Arial Unicode MS"/>
          <w:lang w:val="en-GB" w:bidi="ar-SA"/>
        </w:rPr>
        <w:t>DHA has been shown to be preferentially inserted into brain membranes over other LC</w:t>
      </w:r>
      <w:r w:rsidR="009C4314" w:rsidRPr="00A92233">
        <w:rPr>
          <w:rFonts w:eastAsia="Arial Unicode MS"/>
          <w:lang w:val="en-GB" w:bidi="ar-SA"/>
        </w:rPr>
        <w:t>-</w:t>
      </w:r>
      <w:r w:rsidRPr="00A92233">
        <w:rPr>
          <w:rFonts w:eastAsia="Arial Unicode MS"/>
          <w:lang w:val="en-GB" w:bidi="ar-SA"/>
        </w:rPr>
        <w:t xml:space="preserve">PUFA (Makrides et al. 1994). Therefore, if DHA is added to infant formula, then endogenous EPA and AA also need to be present in amounts that allow balanced incorporation of these PUFAs into cells. </w:t>
      </w:r>
      <w:r w:rsidRPr="00A92233">
        <w:rPr>
          <w:rFonts w:eastAsia="Arial Unicode MS"/>
          <w:szCs w:val="22"/>
          <w:lang w:val="en-GB" w:bidi="ar-SA"/>
        </w:rPr>
        <w:t>Humans have some capacity to synthesise EPA and DHA from precursor dietary fatty acids. Research using stable isotopes has demonstrated the ability of preterm infants to synthesise LC</w:t>
      </w:r>
      <w:r w:rsidR="009C4314" w:rsidRPr="00A92233">
        <w:rPr>
          <w:rFonts w:eastAsia="Arial Unicode MS"/>
          <w:szCs w:val="22"/>
          <w:lang w:val="en-GB" w:bidi="ar-SA"/>
        </w:rPr>
        <w:t>-</w:t>
      </w:r>
      <w:r w:rsidRPr="00A92233">
        <w:rPr>
          <w:rFonts w:eastAsia="Arial Unicode MS"/>
          <w:szCs w:val="22"/>
          <w:lang w:val="en-GB" w:bidi="ar-SA"/>
        </w:rPr>
        <w:t xml:space="preserve">PUFA from LA and ALA precursors at one month of age (Carnielli, Wattimena et al. 1996). Another study in breastfed term human infants found evidence of </w:t>
      </w:r>
      <w:r w:rsidR="00470A8D" w:rsidRPr="00A92233">
        <w:rPr>
          <w:rFonts w:eastAsia="Arial Unicode MS"/>
          <w:szCs w:val="22"/>
          <w:lang w:val="en-GB" w:bidi="ar-SA"/>
        </w:rPr>
        <w:t>n</w:t>
      </w:r>
      <w:r w:rsidRPr="00A92233">
        <w:rPr>
          <w:rFonts w:eastAsia="Arial Unicode MS"/>
          <w:szCs w:val="22"/>
          <w:lang w:val="en-GB" w:bidi="ar-SA"/>
        </w:rPr>
        <w:t>-6 LC</w:t>
      </w:r>
      <w:r w:rsidR="009C4314" w:rsidRPr="00A92233">
        <w:rPr>
          <w:rFonts w:eastAsia="Arial Unicode MS"/>
          <w:szCs w:val="22"/>
          <w:lang w:val="en-GB" w:bidi="ar-SA"/>
        </w:rPr>
        <w:t>-</w:t>
      </w:r>
      <w:r w:rsidRPr="00A92233">
        <w:rPr>
          <w:rFonts w:eastAsia="Arial Unicode MS"/>
          <w:szCs w:val="22"/>
          <w:lang w:val="en-GB" w:bidi="ar-SA"/>
        </w:rPr>
        <w:t xml:space="preserve">PUFA synthesis from </w:t>
      </w:r>
      <w:r w:rsidRPr="00A92233">
        <w:rPr>
          <w:rFonts w:eastAsia="Arial Unicode MS"/>
          <w:szCs w:val="22"/>
          <w:vertAlign w:val="superscript"/>
          <w:lang w:val="en-GB" w:bidi="ar-SA"/>
        </w:rPr>
        <w:t>13</w:t>
      </w:r>
      <w:r w:rsidRPr="00A92233">
        <w:rPr>
          <w:rFonts w:eastAsia="Arial Unicode MS"/>
          <w:szCs w:val="22"/>
          <w:lang w:val="en-GB" w:bidi="ar-SA"/>
        </w:rPr>
        <w:t>C-labelled LA in the first week of life (Szitanyi, Koletzko et al. 1999). A study of preterm infants found those born as early as 26 weeks gestation were able to form A</w:t>
      </w:r>
      <w:r w:rsidR="00917B2E" w:rsidRPr="00A92233">
        <w:rPr>
          <w:rFonts w:eastAsia="Arial Unicode MS"/>
          <w:szCs w:val="22"/>
          <w:lang w:val="en-GB" w:bidi="ar-SA"/>
        </w:rPr>
        <w:t>R</w:t>
      </w:r>
      <w:r w:rsidRPr="00A92233">
        <w:rPr>
          <w:rFonts w:eastAsia="Arial Unicode MS"/>
          <w:szCs w:val="22"/>
          <w:lang w:val="en-GB" w:bidi="ar-SA"/>
        </w:rPr>
        <w:t xml:space="preserve">A and DHA from deuterated LA and ALA (Rojas, Greiner et al. 2002). </w:t>
      </w:r>
    </w:p>
    <w:p w14:paraId="2F88DB8E" w14:textId="77777777" w:rsidR="00BE3399" w:rsidRDefault="00BE3399" w:rsidP="00A7045B">
      <w:pPr>
        <w:pStyle w:val="Heading2"/>
      </w:pPr>
      <w:bookmarkStart w:id="73" w:name="_Toc464129791"/>
      <w:r>
        <w:br w:type="page"/>
      </w:r>
    </w:p>
    <w:p w14:paraId="11EFDF6F" w14:textId="1CA63696" w:rsidR="00A7045B" w:rsidRPr="00FE490D" w:rsidRDefault="00A7045B" w:rsidP="00A7045B">
      <w:pPr>
        <w:pStyle w:val="Heading2"/>
      </w:pPr>
      <w:r w:rsidRPr="00FE490D">
        <w:lastRenderedPageBreak/>
        <w:t>4.3</w:t>
      </w:r>
      <w:r w:rsidRPr="00FE490D">
        <w:tab/>
        <w:t>Fats and fatty acids in different milk sources</w:t>
      </w:r>
      <w:bookmarkEnd w:id="73"/>
    </w:p>
    <w:p w14:paraId="3A5B5FB2" w14:textId="1A17026B" w:rsidR="00A7045B" w:rsidRPr="00A92233" w:rsidRDefault="00A7045B" w:rsidP="00A7045B">
      <w:pPr>
        <w:rPr>
          <w:lang w:val="en-GB"/>
        </w:rPr>
      </w:pPr>
      <w:r w:rsidRPr="00A92233">
        <w:rPr>
          <w:lang w:val="en-GB"/>
        </w:rPr>
        <w:t xml:space="preserve">Fats provide approximately 50 to 60% of the energy in </w:t>
      </w:r>
      <w:r w:rsidR="00AD603F">
        <w:rPr>
          <w:lang w:val="en-GB"/>
        </w:rPr>
        <w:t>breast milk</w:t>
      </w:r>
      <w:r w:rsidRPr="00A92233">
        <w:rPr>
          <w:lang w:val="en-GB"/>
        </w:rPr>
        <w:t xml:space="preserve"> (Saurewald, Hachey et al. 1996). Milk fat is a complex substance, containing approximately 400 fatty acids (Mansson 2008). </w:t>
      </w:r>
    </w:p>
    <w:p w14:paraId="5E72F63F" w14:textId="77777777" w:rsidR="00A7045B" w:rsidRPr="00A92233" w:rsidRDefault="00A7045B" w:rsidP="00A7045B">
      <w:pPr>
        <w:rPr>
          <w:lang w:val="en-GB"/>
        </w:rPr>
      </w:pPr>
    </w:p>
    <w:p w14:paraId="7B5DACC5" w14:textId="1D8CC49E" w:rsidR="00A7045B" w:rsidRPr="00A92233" w:rsidRDefault="00A7045B" w:rsidP="00A7045B">
      <w:pPr>
        <w:rPr>
          <w:rFonts w:eastAsia="Arial Unicode MS"/>
          <w:lang w:val="en-GB"/>
        </w:rPr>
      </w:pPr>
      <w:r w:rsidRPr="00A92233">
        <w:rPr>
          <w:lang w:val="en-GB"/>
        </w:rPr>
        <w:t xml:space="preserve">In the case of bovine milk fat, fatty acids are derived almost equally from two sources, the feed, and the microbial activity in the rumen of the cow. Mansson's (2008) study showed that almost 70% of the fat in milk of Swedish cows was saturated. Around 11% of the fat is short chain fatty acids, with approximately half of that as butyric acid. Approximately 25% of the fatty acids were monounsaturated, 2.3% polyunsaturated with an </w:t>
      </w:r>
      <w:r w:rsidR="0073217F">
        <w:rPr>
          <w:lang w:val="en-GB"/>
        </w:rPr>
        <w:t>n</w:t>
      </w:r>
      <w:r w:rsidRPr="00A92233">
        <w:rPr>
          <w:lang w:val="en-GB"/>
        </w:rPr>
        <w:t xml:space="preserve">-6 to </w:t>
      </w:r>
      <w:r w:rsidR="0073217F">
        <w:rPr>
          <w:lang w:val="en-GB"/>
        </w:rPr>
        <w:t>n</w:t>
      </w:r>
      <w:r w:rsidRPr="00A92233">
        <w:rPr>
          <w:lang w:val="en-GB"/>
        </w:rPr>
        <w:t>-3 ratio around 2.3 and a trans fatty acid concentration of 2.7% (Mansson 2008).</w:t>
      </w:r>
    </w:p>
    <w:p w14:paraId="53B9F242" w14:textId="77777777" w:rsidR="00A7045B" w:rsidRPr="00A92233" w:rsidRDefault="00A7045B" w:rsidP="00A7045B">
      <w:pPr>
        <w:rPr>
          <w:lang w:val="en-GB"/>
        </w:rPr>
      </w:pPr>
    </w:p>
    <w:p w14:paraId="41050495" w14:textId="77777777" w:rsidR="00470A8D" w:rsidRPr="00A92233" w:rsidRDefault="00470A8D" w:rsidP="00470A8D">
      <w:pPr>
        <w:rPr>
          <w:rFonts w:eastAsia="Arial Unicode MS"/>
          <w:szCs w:val="22"/>
          <w:lang w:val="en-GB" w:bidi="ar-SA"/>
        </w:rPr>
      </w:pPr>
      <w:r w:rsidRPr="00A92233">
        <w:rPr>
          <w:rFonts w:eastAsia="Arial Unicode MS"/>
          <w:szCs w:val="22"/>
          <w:lang w:val="en-GB" w:bidi="ar-SA"/>
        </w:rPr>
        <w:t>DHA is found in both triglyceride and phospholipids forms in human breast milk. Approximately 98% of breast milk fat is triglyceride with only about 1% phospholipid and 1% unsaponifiable fats such as cholesterol and phytosterols (Jensen, 1996).</w:t>
      </w:r>
    </w:p>
    <w:p w14:paraId="1056F7E6" w14:textId="77777777" w:rsidR="00470A8D" w:rsidRPr="00A92233" w:rsidRDefault="00470A8D" w:rsidP="00A7045B">
      <w:pPr>
        <w:rPr>
          <w:lang w:val="en-GB"/>
        </w:rPr>
      </w:pPr>
    </w:p>
    <w:p w14:paraId="33647AF6" w14:textId="04E81068" w:rsidR="00A7045B" w:rsidRPr="00A92233" w:rsidRDefault="00A54180" w:rsidP="00A7045B">
      <w:pPr>
        <w:rPr>
          <w:rFonts w:eastAsia="Arial Unicode MS"/>
          <w:lang w:val="en-GB"/>
        </w:rPr>
      </w:pPr>
      <w:r>
        <w:rPr>
          <w:lang w:val="en-GB"/>
        </w:rPr>
        <w:t xml:space="preserve">In the case of humans, </w:t>
      </w:r>
      <w:r w:rsidR="00A7045B" w:rsidRPr="00A92233">
        <w:rPr>
          <w:lang w:val="en-GB"/>
        </w:rPr>
        <w:t>milk fatty acid composition is variable depending on maternal diet. Koletzko et al. (1992) reviewed studies from European and African countries on fatty acid composition in mature breast</w:t>
      </w:r>
      <w:r w:rsidR="0073217F">
        <w:rPr>
          <w:lang w:val="en-GB"/>
        </w:rPr>
        <w:t xml:space="preserve"> </w:t>
      </w:r>
      <w:r w:rsidR="00A7045B" w:rsidRPr="00A92233">
        <w:rPr>
          <w:lang w:val="en-GB"/>
        </w:rPr>
        <w:t xml:space="preserve">milk. These researchers found fatty acid composition in </w:t>
      </w:r>
      <w:r w:rsidR="00AD603F">
        <w:rPr>
          <w:lang w:val="en-GB"/>
        </w:rPr>
        <w:t>breast milk</w:t>
      </w:r>
      <w:r w:rsidR="00A7045B" w:rsidRPr="00A92233">
        <w:rPr>
          <w:lang w:val="en-GB"/>
        </w:rPr>
        <w:t xml:space="preserve"> to be surprisingly consistent, given the differences in dietary intake across the study groups and concluded that metabolic processes seem to be important in regulating </w:t>
      </w:r>
      <w:r w:rsidR="00AD603F">
        <w:rPr>
          <w:lang w:val="en-GB"/>
        </w:rPr>
        <w:t>breast milk</w:t>
      </w:r>
      <w:r w:rsidR="00A7045B" w:rsidRPr="00A92233">
        <w:rPr>
          <w:lang w:val="en-GB"/>
        </w:rPr>
        <w:t xml:space="preserve"> LC-PUFA.</w:t>
      </w:r>
      <w:r w:rsidR="00A7045B" w:rsidRPr="00A92233">
        <w:rPr>
          <w:rFonts w:eastAsia="Arial Unicode MS"/>
          <w:lang w:val="en-GB"/>
        </w:rPr>
        <w:t xml:space="preserve"> </w:t>
      </w:r>
    </w:p>
    <w:p w14:paraId="69725CE0" w14:textId="77777777" w:rsidR="00A7045B" w:rsidRPr="00A92233" w:rsidRDefault="00A7045B" w:rsidP="00A7045B">
      <w:pPr>
        <w:rPr>
          <w:rFonts w:eastAsia="Arial Unicode MS"/>
          <w:lang w:val="en-GB"/>
        </w:rPr>
      </w:pPr>
    </w:p>
    <w:p w14:paraId="50DB5279" w14:textId="72DEBD74" w:rsidR="00A7045B" w:rsidRPr="00A92233" w:rsidRDefault="00A7045B" w:rsidP="00A7045B">
      <w:pPr>
        <w:widowControl/>
        <w:rPr>
          <w:rFonts w:eastAsia="Arial Unicode MS"/>
          <w:szCs w:val="22"/>
          <w:lang w:val="en-GB" w:bidi="ar-SA"/>
        </w:rPr>
      </w:pPr>
      <w:r w:rsidRPr="00A92233">
        <w:rPr>
          <w:rFonts w:eastAsia="Arial Unicode MS"/>
          <w:szCs w:val="22"/>
          <w:lang w:val="en-GB" w:bidi="ar-SA"/>
        </w:rPr>
        <w:t xml:space="preserve">Reported averages for DHA in </w:t>
      </w:r>
      <w:r w:rsidR="00AD603F">
        <w:rPr>
          <w:rFonts w:eastAsia="Arial Unicode MS"/>
          <w:szCs w:val="22"/>
          <w:lang w:val="en-GB" w:bidi="ar-SA"/>
        </w:rPr>
        <w:t>breast milk</w:t>
      </w:r>
      <w:r w:rsidRPr="00A92233">
        <w:rPr>
          <w:rFonts w:eastAsia="Arial Unicode MS"/>
          <w:szCs w:val="22"/>
          <w:lang w:val="en-GB" w:bidi="ar-SA"/>
        </w:rPr>
        <w:t xml:space="preserve"> of Australian mothers consuming typical (not supplemented) diets range from 0.14 to 0.28% of total fatty acids (Makrides et al. 1996; Yuhas et al. 2006). Worldwide DHA concentration in breast</w:t>
      </w:r>
      <w:r w:rsidR="0073217F">
        <w:rPr>
          <w:rFonts w:eastAsia="Arial Unicode MS"/>
          <w:szCs w:val="22"/>
          <w:lang w:val="en-GB" w:bidi="ar-SA"/>
        </w:rPr>
        <w:t xml:space="preserve"> </w:t>
      </w:r>
      <w:r w:rsidRPr="00A92233">
        <w:rPr>
          <w:rFonts w:eastAsia="Arial Unicode MS"/>
          <w:szCs w:val="22"/>
          <w:lang w:val="en-GB" w:bidi="ar-SA"/>
        </w:rPr>
        <w:t xml:space="preserve">milk averages approximately 0.34%, with a range of 0.4 to 0.67% for arachidonic acid (AA) (Nettleson 1995; Saurewald, Hachey et al. 1996). Not surprisingly, the highest </w:t>
      </w:r>
      <w:r w:rsidR="00AD603F">
        <w:rPr>
          <w:rFonts w:eastAsia="Arial Unicode MS"/>
          <w:szCs w:val="22"/>
          <w:lang w:val="en-GB" w:bidi="ar-SA"/>
        </w:rPr>
        <w:t>breast milk</w:t>
      </w:r>
      <w:r w:rsidRPr="00A92233">
        <w:rPr>
          <w:rFonts w:eastAsia="Arial Unicode MS"/>
          <w:szCs w:val="22"/>
          <w:lang w:val="en-GB" w:bidi="ar-SA"/>
        </w:rPr>
        <w:t xml:space="preserve"> DHA levels of 1.33% of total fatty acids are found in Japanese women with high fish intake whereas urban women in the US have 0.06% DHA per cent of total fatty acids (Saurewald, Hachey et al. 1996).</w:t>
      </w:r>
    </w:p>
    <w:p w14:paraId="566687F5" w14:textId="5E5AF3EA" w:rsidR="000C3BED" w:rsidRPr="00A76FA6" w:rsidRDefault="009C4314" w:rsidP="009C4314">
      <w:pPr>
        <w:pStyle w:val="Heading2"/>
      </w:pPr>
      <w:bookmarkStart w:id="74" w:name="_Toc464129792"/>
      <w:r w:rsidRPr="00FE490D">
        <w:t>4.4</w:t>
      </w:r>
      <w:r w:rsidRPr="00FE490D">
        <w:tab/>
      </w:r>
      <w:r w:rsidR="000C3BED" w:rsidRPr="00A76FA6">
        <w:t xml:space="preserve">Composition of </w:t>
      </w:r>
      <w:r w:rsidR="00FD7080" w:rsidRPr="00A76FA6">
        <w:t>DHA-B</w:t>
      </w:r>
      <w:r w:rsidR="00084DC2" w:rsidRPr="00A76FA6">
        <w:rPr>
          <w:vertAlign w:val="superscript"/>
        </w:rPr>
        <w:t xml:space="preserve"> </w:t>
      </w:r>
      <w:r w:rsidR="00084DC2" w:rsidRPr="00A76FA6">
        <w:t>compared to other DHA-rich oils</w:t>
      </w:r>
      <w:bookmarkEnd w:id="74"/>
    </w:p>
    <w:p w14:paraId="3B06E252" w14:textId="13583326" w:rsidR="00551778" w:rsidRPr="00A92233" w:rsidRDefault="005939F4" w:rsidP="00551778">
      <w:pPr>
        <w:rPr>
          <w:lang w:val="en-GB"/>
        </w:rPr>
      </w:pPr>
      <w:r w:rsidRPr="00187707">
        <w:rPr>
          <w:rFonts w:cs="Arial"/>
          <w:lang w:val="en-GB" w:eastAsia="en-GB" w:bidi="ar-SA"/>
        </w:rPr>
        <w:t>The compositional equivalence of this oil to other micro-algal oils was examined.</w:t>
      </w:r>
      <w:r w:rsidRPr="00187707">
        <w:rPr>
          <w:rFonts w:ascii="TimesNewRoman" w:hAnsi="TimesNewRoman" w:cs="TimesNewRoman"/>
          <w:lang w:val="en-GB" w:eastAsia="en-GB" w:bidi="ar-SA"/>
        </w:rPr>
        <w:t xml:space="preserve"> </w:t>
      </w:r>
      <w:r w:rsidR="00FD7080" w:rsidRPr="00A92233">
        <w:rPr>
          <w:lang w:val="en-GB" w:bidi="ar-SA"/>
        </w:rPr>
        <w:t>DHA-B</w:t>
      </w:r>
      <w:r w:rsidR="00440061" w:rsidRPr="00A92233">
        <w:rPr>
          <w:lang w:val="en-GB" w:bidi="ar-SA"/>
        </w:rPr>
        <w:t xml:space="preserve"> is predominately triglyceride in composition, and also contains some monoglyceride, diglyceride and </w:t>
      </w:r>
      <w:r w:rsidR="00194445" w:rsidRPr="00A92233">
        <w:rPr>
          <w:lang w:val="en-GB" w:bidi="ar-SA"/>
        </w:rPr>
        <w:t>non</w:t>
      </w:r>
      <w:r w:rsidR="00194445">
        <w:rPr>
          <w:lang w:val="en-GB" w:bidi="ar-SA"/>
        </w:rPr>
        <w:t>-</w:t>
      </w:r>
      <w:r w:rsidR="00194445" w:rsidRPr="00A92233">
        <w:rPr>
          <w:lang w:val="en-GB" w:bidi="ar-SA"/>
        </w:rPr>
        <w:t>saponifiable</w:t>
      </w:r>
      <w:r w:rsidR="00440061" w:rsidRPr="00A92233">
        <w:rPr>
          <w:lang w:val="en-GB" w:bidi="ar-SA"/>
        </w:rPr>
        <w:t xml:space="preserve"> material, which is typical for </w:t>
      </w:r>
      <w:r w:rsidR="00470A8D" w:rsidRPr="00A92233">
        <w:rPr>
          <w:lang w:val="en-GB" w:bidi="ar-SA"/>
        </w:rPr>
        <w:t>edible</w:t>
      </w:r>
      <w:r w:rsidR="00440061" w:rsidRPr="00A92233">
        <w:rPr>
          <w:lang w:val="en-GB" w:bidi="ar-SA"/>
        </w:rPr>
        <w:t xml:space="preserve"> vegetable oils. </w:t>
      </w:r>
      <w:r w:rsidR="009D0118" w:rsidRPr="00A92233">
        <w:rPr>
          <w:lang w:val="en-GB" w:bidi="ar-SA"/>
        </w:rPr>
        <w:t xml:space="preserve">Triglycerides represent the main source of dietary fat in the human diet and in this respect </w:t>
      </w:r>
      <w:r w:rsidR="00FD7080" w:rsidRPr="00A92233">
        <w:rPr>
          <w:lang w:val="en-GB" w:bidi="ar-SA"/>
        </w:rPr>
        <w:t>DHA-B</w:t>
      </w:r>
      <w:r w:rsidR="009D0118" w:rsidRPr="00A92233">
        <w:rPr>
          <w:lang w:val="en-GB" w:bidi="ar-SA"/>
        </w:rPr>
        <w:t xml:space="preserve"> is no different to other types of dietary fat. </w:t>
      </w:r>
      <w:r w:rsidR="00470A8D" w:rsidRPr="00A92233">
        <w:rPr>
          <w:lang w:val="en-GB" w:bidi="ar-SA"/>
        </w:rPr>
        <w:t xml:space="preserve">The </w:t>
      </w:r>
      <w:r w:rsidR="00440061" w:rsidRPr="00A92233">
        <w:rPr>
          <w:rFonts w:eastAsia="Arial Unicode MS"/>
          <w:szCs w:val="22"/>
          <w:lang w:val="en-GB" w:bidi="ar-SA"/>
        </w:rPr>
        <w:t xml:space="preserve">DHA in DHA-rich oil derived from </w:t>
      </w:r>
      <w:r w:rsidR="00440061" w:rsidRPr="00A92233">
        <w:rPr>
          <w:rFonts w:eastAsia="Arial Unicode MS"/>
          <w:i/>
          <w:szCs w:val="22"/>
          <w:lang w:val="en-GB" w:bidi="ar-SA"/>
        </w:rPr>
        <w:t>Schizochytrium</w:t>
      </w:r>
      <w:r w:rsidR="00440061" w:rsidRPr="00A92233">
        <w:rPr>
          <w:rFonts w:eastAsia="Arial Unicode MS"/>
          <w:szCs w:val="22"/>
          <w:lang w:val="en-GB" w:bidi="ar-SA"/>
        </w:rPr>
        <w:t xml:space="preserve"> sp is found predominantly in the triglyceride fraction, which is also true for other micro-algal oils (e.g. </w:t>
      </w:r>
      <w:r w:rsidR="00440061" w:rsidRPr="00A54180">
        <w:rPr>
          <w:rFonts w:eastAsia="Arial Unicode MS"/>
          <w:i/>
          <w:szCs w:val="22"/>
          <w:lang w:val="en-GB" w:bidi="ar-SA"/>
        </w:rPr>
        <w:t>Crypthecodinium cohnii</w:t>
      </w:r>
      <w:r w:rsidR="00440061" w:rsidRPr="00A92233">
        <w:rPr>
          <w:rFonts w:eastAsia="Arial Unicode MS"/>
          <w:szCs w:val="22"/>
          <w:lang w:val="en-GB" w:bidi="ar-SA"/>
        </w:rPr>
        <w:t>) and for DHA present in fish oils.</w:t>
      </w:r>
      <w:r w:rsidR="00470A8D" w:rsidRPr="00A92233">
        <w:rPr>
          <w:lang w:val="en-GB" w:bidi="ar-SA"/>
        </w:rPr>
        <w:t xml:space="preserve"> </w:t>
      </w:r>
      <w:r w:rsidR="009D0118" w:rsidRPr="00A92233">
        <w:rPr>
          <w:lang w:val="en-GB"/>
        </w:rPr>
        <w:t>T</w:t>
      </w:r>
      <w:r w:rsidR="00551778" w:rsidRPr="00A92233">
        <w:rPr>
          <w:lang w:val="en-GB"/>
        </w:rPr>
        <w:t xml:space="preserve">he other fatty </w:t>
      </w:r>
      <w:r w:rsidR="009D0118" w:rsidRPr="00A92233">
        <w:rPr>
          <w:lang w:val="en-GB"/>
        </w:rPr>
        <w:t xml:space="preserve">acids present </w:t>
      </w:r>
      <w:r w:rsidR="00551778" w:rsidRPr="00A92233">
        <w:rPr>
          <w:lang w:val="en-GB"/>
        </w:rPr>
        <w:t xml:space="preserve">in </w:t>
      </w:r>
      <w:r w:rsidR="00FD7080" w:rsidRPr="00A92233">
        <w:rPr>
          <w:lang w:val="en-GB"/>
        </w:rPr>
        <w:t>DHA-B</w:t>
      </w:r>
      <w:r w:rsidR="009D0118" w:rsidRPr="00A92233">
        <w:rPr>
          <w:lang w:val="en-GB"/>
        </w:rPr>
        <w:t xml:space="preserve"> </w:t>
      </w:r>
      <w:r w:rsidR="00551778" w:rsidRPr="00A92233">
        <w:rPr>
          <w:lang w:val="en-GB"/>
        </w:rPr>
        <w:t xml:space="preserve">are </w:t>
      </w:r>
      <w:r w:rsidR="009D0118" w:rsidRPr="00A92233">
        <w:rPr>
          <w:lang w:val="en-GB"/>
        </w:rPr>
        <w:t xml:space="preserve">all </w:t>
      </w:r>
      <w:r w:rsidR="00551778" w:rsidRPr="00A92233">
        <w:rPr>
          <w:lang w:val="en-GB"/>
        </w:rPr>
        <w:t xml:space="preserve">components of </w:t>
      </w:r>
      <w:r w:rsidR="009D0118" w:rsidRPr="00A92233">
        <w:rPr>
          <w:lang w:val="en-GB"/>
        </w:rPr>
        <w:t xml:space="preserve">other </w:t>
      </w:r>
      <w:r w:rsidR="00551778" w:rsidRPr="00A92233">
        <w:rPr>
          <w:lang w:val="en-GB"/>
        </w:rPr>
        <w:t>edible oils</w:t>
      </w:r>
      <w:r w:rsidR="009C46A9" w:rsidRPr="00A92233">
        <w:rPr>
          <w:lang w:val="en-GB"/>
        </w:rPr>
        <w:t xml:space="preserve">. </w:t>
      </w:r>
    </w:p>
    <w:p w14:paraId="65021712" w14:textId="77777777" w:rsidR="009C46A9" w:rsidRPr="00A92233" w:rsidRDefault="009C46A9" w:rsidP="00551778">
      <w:pPr>
        <w:rPr>
          <w:lang w:val="en-GB"/>
        </w:rPr>
      </w:pPr>
    </w:p>
    <w:p w14:paraId="53F24E60" w14:textId="16C298EC" w:rsidR="00BE3399" w:rsidRDefault="006B3DB4" w:rsidP="006B3DB4">
      <w:pPr>
        <w:rPr>
          <w:lang w:val="en-GB"/>
        </w:rPr>
      </w:pPr>
      <w:r w:rsidRPr="00A92233">
        <w:rPr>
          <w:lang w:val="en-GB" w:bidi="ar-SA"/>
        </w:rPr>
        <w:t xml:space="preserve">Analytical data submitted by the </w:t>
      </w:r>
      <w:r w:rsidR="00200B76">
        <w:rPr>
          <w:lang w:val="en-GB" w:bidi="ar-SA"/>
        </w:rPr>
        <w:t>Applicant</w:t>
      </w:r>
      <w:r w:rsidRPr="00A92233">
        <w:rPr>
          <w:lang w:val="en-GB" w:bidi="ar-SA"/>
        </w:rPr>
        <w:t xml:space="preserve"> shows that DHA-B contains approximately 40% DHA (</w:t>
      </w:r>
      <w:r w:rsidR="009121C0" w:rsidRPr="00A92233">
        <w:rPr>
          <w:lang w:val="en-GB" w:bidi="ar-SA"/>
        </w:rPr>
        <w:t xml:space="preserve">based on </w:t>
      </w:r>
      <w:r w:rsidRPr="00A92233">
        <w:rPr>
          <w:lang w:val="en-GB" w:bidi="ar-SA"/>
        </w:rPr>
        <w:t xml:space="preserve">GC peak area) as well as saturated and unsaturated fatty acids. </w:t>
      </w:r>
      <w:r w:rsidRPr="00A92233">
        <w:rPr>
          <w:lang w:val="en-GB"/>
        </w:rPr>
        <w:t xml:space="preserve">The provided information shows no new fatty acid methyl ester peaks (≥4 mg/g) were identified in any of the tested lots of the DHA algal oil. The fatty acid profile was consistent and reproducible in all lots. The major fatty acids (≥1%) were DHA (22:6n-3), myristic acid (14:0), palmitic acid (16:0), stearic acid (18:0), oleic acid (18:1n-9), linoleic acid (18:2n-6), EPA (20:5n-3) and DPA (22:5n-6). Oleic, EPA, DHA, palmitic and stearic acids account for approximately 90% of the </w:t>
      </w:r>
      <w:r w:rsidR="009121C0" w:rsidRPr="00A92233">
        <w:rPr>
          <w:lang w:val="en-GB"/>
        </w:rPr>
        <w:t xml:space="preserve">total </w:t>
      </w:r>
      <w:r w:rsidRPr="00A92233">
        <w:rPr>
          <w:lang w:val="en-GB"/>
        </w:rPr>
        <w:t>peak area of the gas chromatograph</w:t>
      </w:r>
      <w:r w:rsidR="009121C0" w:rsidRPr="00A92233">
        <w:rPr>
          <w:lang w:val="en-GB"/>
        </w:rPr>
        <w:t>ic</w:t>
      </w:r>
      <w:r w:rsidRPr="00A92233">
        <w:rPr>
          <w:lang w:val="en-GB"/>
        </w:rPr>
        <w:t xml:space="preserve"> fatty acid profile of DHA-B. All of these fatty acids are well known and are present in the diet from a variety of vegetable and animal sources. The </w:t>
      </w:r>
      <w:r w:rsidR="00200B76">
        <w:rPr>
          <w:lang w:val="en-GB"/>
        </w:rPr>
        <w:t>Applicant</w:t>
      </w:r>
      <w:r w:rsidRPr="00A92233">
        <w:rPr>
          <w:lang w:val="en-GB"/>
        </w:rPr>
        <w:t xml:space="preserve"> also provided evidence to show less than one percent </w:t>
      </w:r>
      <w:r w:rsidR="00A54180" w:rsidRPr="00A54180">
        <w:rPr>
          <w:lang w:val="en-GB"/>
        </w:rPr>
        <w:t>trans</w:t>
      </w:r>
      <w:r w:rsidR="00A54180" w:rsidRPr="00A92233">
        <w:rPr>
          <w:i/>
          <w:lang w:val="en-GB"/>
        </w:rPr>
        <w:t xml:space="preserve"> </w:t>
      </w:r>
      <w:r w:rsidRPr="00A92233">
        <w:rPr>
          <w:lang w:val="en-GB"/>
        </w:rPr>
        <w:t>fatty acid in all five tested lots.</w:t>
      </w:r>
      <w:r w:rsidR="00BE3399">
        <w:rPr>
          <w:lang w:val="en-GB"/>
        </w:rPr>
        <w:br w:type="page"/>
      </w:r>
    </w:p>
    <w:p w14:paraId="6DF487B1" w14:textId="2F86160E" w:rsidR="00CE5720" w:rsidRPr="00A92233" w:rsidRDefault="009C4314" w:rsidP="00CE5720">
      <w:pPr>
        <w:rPr>
          <w:lang w:val="en-GB" w:eastAsia="en-AU" w:bidi="ar-SA"/>
        </w:rPr>
      </w:pPr>
      <w:r w:rsidRPr="00A92233">
        <w:rPr>
          <w:lang w:val="en-GB"/>
        </w:rPr>
        <w:lastRenderedPageBreak/>
        <w:t>There are a number of micro</w:t>
      </w:r>
      <w:r w:rsidR="00C94E0D" w:rsidRPr="00A92233">
        <w:rPr>
          <w:lang w:val="en-GB"/>
        </w:rPr>
        <w:t>-algal</w:t>
      </w:r>
      <w:r w:rsidRPr="00A92233">
        <w:rPr>
          <w:lang w:val="en-GB"/>
        </w:rPr>
        <w:t xml:space="preserve"> DHA</w:t>
      </w:r>
      <w:r w:rsidR="009D0118" w:rsidRPr="00A92233">
        <w:rPr>
          <w:lang w:val="en-GB"/>
        </w:rPr>
        <w:t>-</w:t>
      </w:r>
      <w:r w:rsidRPr="00A92233">
        <w:rPr>
          <w:lang w:val="en-GB"/>
        </w:rPr>
        <w:t xml:space="preserve"> rich </w:t>
      </w:r>
      <w:r w:rsidR="009C46A9" w:rsidRPr="00A92233">
        <w:rPr>
          <w:lang w:val="en-GB"/>
        </w:rPr>
        <w:t xml:space="preserve">oils </w:t>
      </w:r>
      <w:r w:rsidRPr="00A92233">
        <w:rPr>
          <w:lang w:val="en-GB"/>
        </w:rPr>
        <w:t>available</w:t>
      </w:r>
      <w:r w:rsidR="009D0118" w:rsidRPr="00A92233">
        <w:rPr>
          <w:lang w:val="en-GB"/>
        </w:rPr>
        <w:t xml:space="preserve"> in the market</w:t>
      </w:r>
      <w:r w:rsidRPr="00A92233">
        <w:rPr>
          <w:lang w:val="en-GB"/>
        </w:rPr>
        <w:t xml:space="preserve">, known by a variety of common and trade names. </w:t>
      </w:r>
      <w:r w:rsidR="00DC199C" w:rsidRPr="00A92233">
        <w:rPr>
          <w:lang w:val="en-GB"/>
        </w:rPr>
        <w:t xml:space="preserve">These oils are </w:t>
      </w:r>
      <w:r w:rsidRPr="00A92233">
        <w:rPr>
          <w:lang w:val="en-GB"/>
        </w:rPr>
        <w:t xml:space="preserve">produced from </w:t>
      </w:r>
      <w:r w:rsidR="00BE7515" w:rsidRPr="00A92233">
        <w:rPr>
          <w:lang w:val="en-GB"/>
        </w:rPr>
        <w:t xml:space="preserve">three species: </w:t>
      </w:r>
      <w:r w:rsidRPr="00A92233">
        <w:rPr>
          <w:i/>
          <w:lang w:val="en-GB"/>
        </w:rPr>
        <w:t>Crypthecodinium</w:t>
      </w:r>
      <w:r w:rsidRPr="00A92233">
        <w:rPr>
          <w:lang w:val="en-GB"/>
        </w:rPr>
        <w:t xml:space="preserve"> </w:t>
      </w:r>
      <w:r w:rsidRPr="00A92233">
        <w:rPr>
          <w:i/>
          <w:lang w:val="en-GB"/>
        </w:rPr>
        <w:t>cohnii</w:t>
      </w:r>
      <w:r w:rsidRPr="00A92233">
        <w:rPr>
          <w:lang w:val="en-GB"/>
        </w:rPr>
        <w:t xml:space="preserve">, </w:t>
      </w:r>
      <w:r w:rsidRPr="00A92233">
        <w:rPr>
          <w:i/>
          <w:lang w:val="en-GB"/>
        </w:rPr>
        <w:t>Schizochytrium</w:t>
      </w:r>
      <w:r w:rsidRPr="00A92233">
        <w:rPr>
          <w:lang w:val="en-GB"/>
        </w:rPr>
        <w:t xml:space="preserve"> sp.</w:t>
      </w:r>
      <w:r w:rsidR="00DC199C" w:rsidRPr="00A92233">
        <w:rPr>
          <w:lang w:val="en-GB"/>
        </w:rPr>
        <w:t xml:space="preserve"> and </w:t>
      </w:r>
      <w:r w:rsidR="00DC199C" w:rsidRPr="00A92233">
        <w:rPr>
          <w:i/>
          <w:lang w:val="en-GB"/>
        </w:rPr>
        <w:t>U</w:t>
      </w:r>
      <w:r w:rsidRPr="00A92233">
        <w:rPr>
          <w:i/>
          <w:lang w:val="en-GB"/>
        </w:rPr>
        <w:t>lkenia</w:t>
      </w:r>
      <w:r w:rsidRPr="00A92233">
        <w:rPr>
          <w:lang w:val="en-GB"/>
        </w:rPr>
        <w:t xml:space="preserve"> sp. The fatty acid composition of DHA</w:t>
      </w:r>
      <w:r w:rsidR="00A54180">
        <w:rPr>
          <w:lang w:val="en-GB"/>
        </w:rPr>
        <w:t>-</w:t>
      </w:r>
      <w:r w:rsidRPr="00A92233">
        <w:rPr>
          <w:lang w:val="en-GB"/>
        </w:rPr>
        <w:t xml:space="preserve">rich oils produced by these microalgae is shown in Table </w:t>
      </w:r>
      <w:r w:rsidR="00CB73A8" w:rsidRPr="00A92233">
        <w:rPr>
          <w:lang w:val="en-GB"/>
        </w:rPr>
        <w:t>4.1</w:t>
      </w:r>
      <w:r w:rsidRPr="00A92233">
        <w:rPr>
          <w:lang w:val="en-GB"/>
        </w:rPr>
        <w:t>.</w:t>
      </w:r>
      <w:r w:rsidR="009A6C87" w:rsidRPr="00A92233">
        <w:rPr>
          <w:lang w:val="en-GB"/>
        </w:rPr>
        <w:t xml:space="preserve"> </w:t>
      </w:r>
      <w:r w:rsidR="00BE6DB2" w:rsidRPr="00A92233">
        <w:rPr>
          <w:lang w:val="en-GB"/>
        </w:rPr>
        <w:t xml:space="preserve">The </w:t>
      </w:r>
      <w:r w:rsidR="006B3DB4" w:rsidRPr="00A92233">
        <w:rPr>
          <w:lang w:val="en-GB"/>
        </w:rPr>
        <w:t>different oil</w:t>
      </w:r>
      <w:r w:rsidR="00BE6DB2" w:rsidRPr="00A92233">
        <w:rPr>
          <w:lang w:val="en-GB"/>
        </w:rPr>
        <w:t xml:space="preserve"> products </w:t>
      </w:r>
      <w:r w:rsidR="00BE7515" w:rsidRPr="00A92233">
        <w:rPr>
          <w:lang w:val="en-GB"/>
        </w:rPr>
        <w:t xml:space="preserve">show similarities as well as differences in the fatty acid make up. </w:t>
      </w:r>
      <w:r w:rsidR="006B3DB4" w:rsidRPr="00A92233">
        <w:rPr>
          <w:lang w:val="en-GB"/>
        </w:rPr>
        <w:t>When DHA-B is compared to other DHA</w:t>
      </w:r>
      <w:r w:rsidR="00A54180">
        <w:rPr>
          <w:lang w:val="en-GB"/>
        </w:rPr>
        <w:t>-</w:t>
      </w:r>
      <w:r w:rsidR="006B3DB4" w:rsidRPr="00A92233">
        <w:rPr>
          <w:lang w:val="en-GB"/>
        </w:rPr>
        <w:t xml:space="preserve">rich oils produced by </w:t>
      </w:r>
      <w:r w:rsidR="006B3DB4" w:rsidRPr="00187707">
        <w:rPr>
          <w:i/>
          <w:lang w:val="en-GB"/>
        </w:rPr>
        <w:t>Schizochytrium</w:t>
      </w:r>
      <w:r w:rsidR="006B3DB4" w:rsidRPr="00A92233">
        <w:rPr>
          <w:lang w:val="en-GB"/>
        </w:rPr>
        <w:t xml:space="preserve"> sp</w:t>
      </w:r>
      <w:r w:rsidR="00053874" w:rsidRPr="00A92233">
        <w:rPr>
          <w:lang w:val="en-GB"/>
        </w:rPr>
        <w:t>.</w:t>
      </w:r>
      <w:r w:rsidR="006B3DB4" w:rsidRPr="00A92233">
        <w:rPr>
          <w:lang w:val="en-GB"/>
        </w:rPr>
        <w:t xml:space="preserve"> similarities are seen with DHA and stearic acid (18:0). More variation is seen in the majority of fatty acids for the oils produced from </w:t>
      </w:r>
      <w:r w:rsidR="006B3DB4" w:rsidRPr="00A92233">
        <w:rPr>
          <w:i/>
          <w:lang w:val="en-GB"/>
        </w:rPr>
        <w:t>Crypthecodinium cohnii</w:t>
      </w:r>
      <w:r w:rsidR="006B3DB4" w:rsidRPr="00A92233">
        <w:rPr>
          <w:lang w:val="en-GB"/>
        </w:rPr>
        <w:t xml:space="preserve"> and </w:t>
      </w:r>
      <w:r w:rsidR="006B3DB4" w:rsidRPr="00A92233">
        <w:rPr>
          <w:i/>
          <w:lang w:val="en-GB"/>
        </w:rPr>
        <w:t>Ulkenia</w:t>
      </w:r>
      <w:r w:rsidR="006B3DB4" w:rsidRPr="00A92233">
        <w:rPr>
          <w:lang w:val="en-GB"/>
        </w:rPr>
        <w:t xml:space="preserve"> sp. </w:t>
      </w:r>
      <w:r w:rsidR="00CE5720" w:rsidRPr="00A92233">
        <w:rPr>
          <w:lang w:val="en-GB" w:bidi="ar-SA"/>
        </w:rPr>
        <w:t xml:space="preserve">As shown in </w:t>
      </w:r>
      <w:r w:rsidR="00A54180" w:rsidRPr="00A92233">
        <w:rPr>
          <w:lang w:val="en-GB" w:bidi="ar-SA"/>
        </w:rPr>
        <w:t xml:space="preserve">Table </w:t>
      </w:r>
      <w:r w:rsidR="00CE5720" w:rsidRPr="00A92233">
        <w:rPr>
          <w:lang w:val="en-GB" w:bidi="ar-SA"/>
        </w:rPr>
        <w:t xml:space="preserve">4.1, the </w:t>
      </w:r>
      <w:r w:rsidR="00CE5720" w:rsidRPr="00A92233">
        <w:rPr>
          <w:lang w:val="en-GB"/>
        </w:rPr>
        <w:t xml:space="preserve">differences are particularly relevant </w:t>
      </w:r>
      <w:r w:rsidR="00A54180">
        <w:rPr>
          <w:lang w:val="en-GB"/>
        </w:rPr>
        <w:t>to the DHA, EPA and DPA content</w:t>
      </w:r>
      <w:r w:rsidR="00CE5720" w:rsidRPr="00A92233">
        <w:rPr>
          <w:lang w:val="en-GB"/>
        </w:rPr>
        <w:t xml:space="preserve">. </w:t>
      </w:r>
      <w:r w:rsidR="00CE5720" w:rsidRPr="00A92233">
        <w:rPr>
          <w:lang w:val="en-GB" w:eastAsia="en-AU" w:bidi="ar-SA"/>
        </w:rPr>
        <w:t xml:space="preserve">DHA-B contains approximately 6% EPA, one oil from </w:t>
      </w:r>
      <w:r w:rsidR="00CE5720" w:rsidRPr="00A92233">
        <w:rPr>
          <w:i/>
          <w:szCs w:val="18"/>
          <w:lang w:val="en-GB"/>
        </w:rPr>
        <w:t>Schizochytrium</w:t>
      </w:r>
      <w:r w:rsidR="00CE5720" w:rsidRPr="00A92233">
        <w:rPr>
          <w:szCs w:val="18"/>
          <w:lang w:val="en-GB"/>
        </w:rPr>
        <w:t xml:space="preserve"> sp</w:t>
      </w:r>
      <w:r w:rsidR="00053874" w:rsidRPr="00A92233">
        <w:rPr>
          <w:szCs w:val="18"/>
          <w:lang w:val="en-GB"/>
        </w:rPr>
        <w:t>.</w:t>
      </w:r>
      <w:r w:rsidR="00CE5720" w:rsidRPr="00A92233" w:rsidDel="00FA3C58">
        <w:rPr>
          <w:lang w:val="en-GB" w:eastAsia="en-AU" w:bidi="ar-SA"/>
        </w:rPr>
        <w:t xml:space="preserve"> </w:t>
      </w:r>
      <w:r w:rsidR="00CE5720" w:rsidRPr="00A92233">
        <w:rPr>
          <w:lang w:val="en-GB" w:eastAsia="en-AU" w:bidi="ar-SA"/>
        </w:rPr>
        <w:t xml:space="preserve">had low amounts of EPA and another negligible amounts, as did the oil produced from </w:t>
      </w:r>
      <w:r w:rsidR="00CE5720" w:rsidRPr="00A92233">
        <w:rPr>
          <w:i/>
          <w:szCs w:val="18"/>
          <w:lang w:val="en-GB"/>
        </w:rPr>
        <w:t xml:space="preserve">Cyrptothecodimium cohnii. </w:t>
      </w:r>
      <w:r w:rsidR="00CE5720" w:rsidRPr="00A92233">
        <w:rPr>
          <w:lang w:val="en-GB" w:eastAsia="en-AU" w:bidi="ar-SA"/>
        </w:rPr>
        <w:t xml:space="preserve">Oil from </w:t>
      </w:r>
      <w:r w:rsidR="00B21591" w:rsidRPr="00A92233">
        <w:rPr>
          <w:i/>
          <w:lang w:val="en-GB" w:eastAsia="en-AU" w:bidi="ar-SA"/>
        </w:rPr>
        <w:t>Ulkenia</w:t>
      </w:r>
      <w:r w:rsidR="00B21591" w:rsidRPr="00A92233">
        <w:rPr>
          <w:lang w:val="en-GB" w:eastAsia="en-AU" w:bidi="ar-SA"/>
        </w:rPr>
        <w:t xml:space="preserve"> </w:t>
      </w:r>
      <w:r w:rsidR="00CE5720" w:rsidRPr="00A92233">
        <w:rPr>
          <w:lang w:val="en-GB" w:eastAsia="en-AU" w:bidi="ar-SA"/>
        </w:rPr>
        <w:t>sp</w:t>
      </w:r>
      <w:r w:rsidR="00B21591" w:rsidRPr="00A92233">
        <w:rPr>
          <w:lang w:val="en-GB" w:eastAsia="en-AU" w:bidi="ar-SA"/>
        </w:rPr>
        <w:t>.</w:t>
      </w:r>
      <w:r w:rsidR="00CE5720" w:rsidRPr="00A92233">
        <w:rPr>
          <w:lang w:val="en-GB" w:eastAsia="en-AU" w:bidi="ar-SA"/>
        </w:rPr>
        <w:t xml:space="preserve"> contains approximately 20% DPA compared to 3% DPA from another oil from </w:t>
      </w:r>
      <w:r w:rsidR="00CE5720" w:rsidRPr="00A92233">
        <w:rPr>
          <w:i/>
          <w:szCs w:val="18"/>
          <w:lang w:val="en-GB"/>
        </w:rPr>
        <w:t>Schizochytrium</w:t>
      </w:r>
      <w:r w:rsidR="00CE5720" w:rsidRPr="00A92233">
        <w:rPr>
          <w:lang w:val="en-GB" w:eastAsia="en-AU" w:bidi="ar-SA"/>
        </w:rPr>
        <w:t xml:space="preserve"> sp. </w:t>
      </w:r>
    </w:p>
    <w:p w14:paraId="5906794D" w14:textId="77777777" w:rsidR="00CE5720" w:rsidRPr="00A92233" w:rsidRDefault="00CE5720" w:rsidP="00CE5720">
      <w:pPr>
        <w:rPr>
          <w:lang w:val="en-GB" w:eastAsia="en-AU" w:bidi="ar-SA"/>
        </w:rPr>
      </w:pPr>
    </w:p>
    <w:p w14:paraId="6A085621" w14:textId="2A529348" w:rsidR="00CE5720" w:rsidRPr="00A92233" w:rsidRDefault="00CE5720" w:rsidP="00CE5720">
      <w:pPr>
        <w:rPr>
          <w:lang w:val="en-GB"/>
        </w:rPr>
      </w:pPr>
      <w:r w:rsidRPr="00A92233">
        <w:rPr>
          <w:lang w:val="en-GB"/>
        </w:rPr>
        <w:t xml:space="preserve">However, generally the fatty acid composition of DHA-B is comparable to that of other oils on the market and the differences are nutritionally insignificant because the maximum amount of </w:t>
      </w:r>
      <w:r w:rsidR="0073217F">
        <w:rPr>
          <w:lang w:val="en-GB"/>
        </w:rPr>
        <w:t>n</w:t>
      </w:r>
      <w:r w:rsidRPr="00A92233">
        <w:rPr>
          <w:lang w:val="en-GB"/>
        </w:rPr>
        <w:t xml:space="preserve">-3 LC-PUFA that can be added to </w:t>
      </w:r>
      <w:r w:rsidR="00A54180">
        <w:rPr>
          <w:lang w:val="en-GB"/>
        </w:rPr>
        <w:t>infant formula products</w:t>
      </w:r>
      <w:r w:rsidR="00A54180" w:rsidRPr="00A92233">
        <w:rPr>
          <w:lang w:val="en-GB"/>
        </w:rPr>
        <w:t xml:space="preserve"> </w:t>
      </w:r>
      <w:r w:rsidRPr="00A92233">
        <w:rPr>
          <w:lang w:val="en-GB"/>
        </w:rPr>
        <w:t xml:space="preserve">is less than </w:t>
      </w:r>
      <w:r w:rsidRPr="00A513D9">
        <w:rPr>
          <w:lang w:val="en-GB"/>
        </w:rPr>
        <w:t>500 mg/</w:t>
      </w:r>
      <w:r w:rsidR="00A513D9" w:rsidRPr="00A513D9">
        <w:rPr>
          <w:lang w:val="en-GB"/>
        </w:rPr>
        <w:t>L</w:t>
      </w:r>
      <w:r w:rsidRPr="00A513D9">
        <w:rPr>
          <w:rStyle w:val="FootnoteReference"/>
          <w:lang w:val="en-GB"/>
        </w:rPr>
        <w:footnoteReference w:id="2"/>
      </w:r>
      <w:r w:rsidRPr="00A513D9">
        <w:rPr>
          <w:lang w:val="en-GB"/>
        </w:rPr>
        <w:t>.</w:t>
      </w:r>
    </w:p>
    <w:p w14:paraId="2485FC7F" w14:textId="77777777" w:rsidR="00297A02" w:rsidRPr="00A92233" w:rsidRDefault="00297A02" w:rsidP="00CE5720">
      <w:pPr>
        <w:rPr>
          <w:lang w:val="en-GB"/>
        </w:rPr>
      </w:pPr>
    </w:p>
    <w:p w14:paraId="66175A39" w14:textId="0C84209F" w:rsidR="00A92233" w:rsidRPr="00A92233" w:rsidRDefault="00A92233" w:rsidP="00A92233">
      <w:pPr>
        <w:rPr>
          <w:lang w:val="en-GB"/>
        </w:rPr>
      </w:pPr>
      <w:r w:rsidRPr="00A92233">
        <w:rPr>
          <w:lang w:val="en-GB"/>
        </w:rPr>
        <w:t xml:space="preserve">The </w:t>
      </w:r>
      <w:r w:rsidR="00200B76">
        <w:rPr>
          <w:lang w:val="en-GB"/>
        </w:rPr>
        <w:t>Applicant</w:t>
      </w:r>
      <w:r w:rsidRPr="00A92233">
        <w:rPr>
          <w:lang w:val="en-GB"/>
        </w:rPr>
        <w:t xml:space="preserve"> provided information which shows that the major sterols (≥10 wt% total sterols) of DHA-B include stigmasterol, ß-sitosterol and cholesterol, all of which are found in </w:t>
      </w:r>
      <w:r w:rsidR="00AD603F">
        <w:rPr>
          <w:lang w:val="en-GB"/>
        </w:rPr>
        <w:t>breast milk</w:t>
      </w:r>
      <w:r w:rsidRPr="00A92233">
        <w:rPr>
          <w:lang w:val="en-GB"/>
        </w:rPr>
        <w:t xml:space="preserve"> and commercially available </w:t>
      </w:r>
      <w:r w:rsidR="00A54180">
        <w:rPr>
          <w:lang w:val="en-GB"/>
        </w:rPr>
        <w:t>infant formula products</w:t>
      </w:r>
      <w:r w:rsidRPr="00A92233">
        <w:rPr>
          <w:lang w:val="en-GB"/>
        </w:rPr>
        <w:t>. The minor sterols and trace sterols and stanols are also found in breast</w:t>
      </w:r>
      <w:r w:rsidR="0073217F">
        <w:rPr>
          <w:lang w:val="en-GB"/>
        </w:rPr>
        <w:t xml:space="preserve"> </w:t>
      </w:r>
      <w:r w:rsidRPr="00A92233">
        <w:rPr>
          <w:lang w:val="en-GB"/>
        </w:rPr>
        <w:t xml:space="preserve">milk, </w:t>
      </w:r>
      <w:r w:rsidR="00A54180">
        <w:rPr>
          <w:lang w:val="en-GB"/>
        </w:rPr>
        <w:t>infant formula products</w:t>
      </w:r>
      <w:r w:rsidR="00A54180" w:rsidRPr="00A92233">
        <w:rPr>
          <w:lang w:val="en-GB"/>
        </w:rPr>
        <w:t xml:space="preserve"> </w:t>
      </w:r>
      <w:r w:rsidRPr="00A92233">
        <w:rPr>
          <w:lang w:val="en-GB"/>
        </w:rPr>
        <w:t>and common foods and dietary oils.</w:t>
      </w:r>
    </w:p>
    <w:p w14:paraId="05253FA3" w14:textId="77777777" w:rsidR="00A92233" w:rsidRPr="00A92233" w:rsidRDefault="00A92233" w:rsidP="00A92233"/>
    <w:p w14:paraId="47106813" w14:textId="77777777" w:rsidR="00A92233" w:rsidRDefault="00A92233" w:rsidP="00A92233">
      <w:pPr>
        <w:sectPr w:rsidR="00A92233" w:rsidSect="006F0F36">
          <w:pgSz w:w="11906" w:h="16838"/>
          <w:pgMar w:top="1418" w:right="1418" w:bottom="1418" w:left="1418" w:header="709" w:footer="709" w:gutter="0"/>
          <w:pgNumType w:start="1"/>
          <w:cols w:space="708"/>
          <w:docGrid w:linePitch="360"/>
        </w:sectPr>
      </w:pPr>
    </w:p>
    <w:p w14:paraId="0098D480" w14:textId="1D4CFA9D" w:rsidR="006151F0" w:rsidRDefault="006151F0" w:rsidP="00A92233">
      <w:pPr>
        <w:pStyle w:val="FSTableTitle"/>
        <w:rPr>
          <w:lang w:val="en-GB"/>
        </w:rPr>
      </w:pPr>
      <w:r w:rsidRPr="00A92233">
        <w:rPr>
          <w:lang w:val="en-GB"/>
        </w:rPr>
        <w:lastRenderedPageBreak/>
        <w:t xml:space="preserve">Table </w:t>
      </w:r>
      <w:r w:rsidR="00CB73A8" w:rsidRPr="00A92233">
        <w:rPr>
          <w:lang w:val="en-GB"/>
        </w:rPr>
        <w:t>4.1</w:t>
      </w:r>
      <w:r w:rsidRPr="00A92233">
        <w:rPr>
          <w:lang w:val="en-GB"/>
        </w:rPr>
        <w:t xml:space="preserve">: Comparison of fatty acid profiles of </w:t>
      </w:r>
      <w:r w:rsidR="00781A0C" w:rsidRPr="00A92233">
        <w:rPr>
          <w:lang w:val="en-GB"/>
        </w:rPr>
        <w:t xml:space="preserve">different micro-algal oils </w:t>
      </w:r>
    </w:p>
    <w:tbl>
      <w:tblPr>
        <w:tblStyle w:val="LightShading-Accent1"/>
        <w:tblW w:w="11624" w:type="dxa"/>
        <w:tblLayout w:type="fixed"/>
        <w:tblLook w:val="04A0" w:firstRow="1" w:lastRow="0" w:firstColumn="1" w:lastColumn="0" w:noHBand="0" w:noVBand="1"/>
        <w:tblCaption w:val="Comparison of fatty acid profiles of different mirco-algal oils "/>
        <w:tblDescription w:val="This tables shows fatty acid composition differences for DHA-B compared previously approved micro-algal oils. "/>
      </w:tblPr>
      <w:tblGrid>
        <w:gridCol w:w="2919"/>
        <w:gridCol w:w="1235"/>
        <w:gridCol w:w="1230"/>
        <w:gridCol w:w="1808"/>
        <w:gridCol w:w="1803"/>
        <w:gridCol w:w="1193"/>
        <w:gridCol w:w="1436"/>
      </w:tblGrid>
      <w:tr w:rsidR="00DC199C" w:rsidRPr="00DE5269" w14:paraId="78E3902E" w14:textId="77777777" w:rsidTr="00A92233">
        <w:trPr>
          <w:cnfStyle w:val="100000000000" w:firstRow="1" w:lastRow="0" w:firstColumn="0" w:lastColumn="0" w:oddVBand="0" w:evenVBand="0" w:oddHBand="0" w:evenHBand="0" w:firstRowFirstColumn="0" w:firstRowLastColumn="0" w:lastRowFirstColumn="0" w:lastRowLastColumn="0"/>
          <w:cantSplit/>
          <w:trHeight w:val="1019"/>
          <w:tblHeader/>
        </w:trPr>
        <w:tc>
          <w:tcPr>
            <w:cnfStyle w:val="001000000000" w:firstRow="0" w:lastRow="0" w:firstColumn="1" w:lastColumn="0" w:oddVBand="0" w:evenVBand="0" w:oddHBand="0" w:evenHBand="0" w:firstRowFirstColumn="0" w:firstRowLastColumn="0" w:lastRowFirstColumn="0" w:lastRowLastColumn="0"/>
            <w:tcW w:w="2919" w:type="dxa"/>
          </w:tcPr>
          <w:p w14:paraId="2DA0E9E8" w14:textId="022689AC" w:rsidR="009A6C87" w:rsidRPr="00A92233" w:rsidRDefault="00DC199C" w:rsidP="002C1759">
            <w:pPr>
              <w:pStyle w:val="FSTableText"/>
              <w:keepNext/>
              <w:keepLines/>
              <w:widowControl/>
              <w:rPr>
                <w:b w:val="0"/>
                <w:color w:val="auto"/>
                <w:lang w:val="en-GB" w:eastAsia="en-AU" w:bidi="ar-SA"/>
              </w:rPr>
            </w:pPr>
            <w:r w:rsidRPr="00A92233">
              <w:rPr>
                <w:lang w:val="en-GB" w:eastAsia="en-AU" w:bidi="ar-SA"/>
              </w:rPr>
              <w:t>Fatty acid</w:t>
            </w:r>
          </w:p>
        </w:tc>
        <w:tc>
          <w:tcPr>
            <w:tcW w:w="1235" w:type="dxa"/>
          </w:tcPr>
          <w:p w14:paraId="113A28F9" w14:textId="37A47EB9" w:rsidR="009A6C87" w:rsidRPr="00A92233" w:rsidRDefault="009A6C87" w:rsidP="002C1759">
            <w:pPr>
              <w:pStyle w:val="FSTableText"/>
              <w:keepNext/>
              <w:keepLines/>
              <w:widowControl/>
              <w:cnfStyle w:val="100000000000" w:firstRow="1" w:lastRow="0" w:firstColumn="0" w:lastColumn="0" w:oddVBand="0" w:evenVBand="0" w:oddHBand="0" w:evenHBand="0" w:firstRowFirstColumn="0" w:firstRowLastColumn="0" w:lastRowFirstColumn="0" w:lastRowLastColumn="0"/>
              <w:rPr>
                <w:b w:val="0"/>
                <w:color w:val="auto"/>
                <w:lang w:val="en-GB" w:eastAsia="en-AU" w:bidi="ar-SA"/>
              </w:rPr>
            </w:pPr>
            <w:r w:rsidRPr="00A92233">
              <w:rPr>
                <w:lang w:val="en-GB" w:eastAsia="en-AU" w:bidi="ar-SA"/>
              </w:rPr>
              <w:t>Formula</w:t>
            </w:r>
          </w:p>
        </w:tc>
        <w:tc>
          <w:tcPr>
            <w:tcW w:w="1230" w:type="dxa"/>
          </w:tcPr>
          <w:p w14:paraId="0997A342" w14:textId="5B7F11DB" w:rsidR="009A6C87" w:rsidRPr="00A92233" w:rsidRDefault="00FD7080" w:rsidP="002C1759">
            <w:pPr>
              <w:pStyle w:val="FSTableText"/>
              <w:keepNext/>
              <w:keepLines/>
              <w:widowControl/>
              <w:ind w:left="-1"/>
              <w:jc w:val="center"/>
              <w:cnfStyle w:val="100000000000" w:firstRow="1"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DHA-B</w:t>
            </w:r>
            <w:r w:rsidR="009A6C87" w:rsidRPr="00A92233">
              <w:rPr>
                <w:lang w:val="en-GB" w:eastAsia="en-AU" w:bidi="ar-SA"/>
              </w:rPr>
              <w:t xml:space="preserve"> oil</w:t>
            </w:r>
            <w:r w:rsidR="00097E1E" w:rsidRPr="00A92233">
              <w:rPr>
                <w:vertAlign w:val="superscript"/>
                <w:lang w:val="en-GB"/>
              </w:rPr>
              <w:t>1</w:t>
            </w:r>
          </w:p>
        </w:tc>
        <w:tc>
          <w:tcPr>
            <w:tcW w:w="1808" w:type="dxa"/>
            <w:tcMar>
              <w:left w:w="28" w:type="dxa"/>
              <w:right w:w="28" w:type="dxa"/>
            </w:tcMar>
          </w:tcPr>
          <w:p w14:paraId="7F429B11" w14:textId="53EAFB29" w:rsidR="009A6C87" w:rsidRPr="00A92233" w:rsidRDefault="009A6C87" w:rsidP="002C1759">
            <w:pPr>
              <w:pStyle w:val="FSTableText"/>
              <w:keepNext/>
              <w:keepLines/>
              <w:widowControl/>
              <w:jc w:val="center"/>
              <w:cnfStyle w:val="100000000000" w:firstRow="1" w:lastRow="0" w:firstColumn="0" w:lastColumn="0" w:oddVBand="0" w:evenVBand="0" w:oddHBand="0" w:evenHBand="0" w:firstRowFirstColumn="0" w:firstRowLastColumn="0" w:lastRowFirstColumn="0" w:lastRowLastColumn="0"/>
              <w:rPr>
                <w:b w:val="0"/>
                <w:color w:val="auto"/>
                <w:lang w:val="en-GB" w:eastAsia="en-AU" w:bidi="ar-SA"/>
              </w:rPr>
            </w:pPr>
            <w:r w:rsidRPr="00A92233">
              <w:rPr>
                <w:lang w:val="en-GB" w:eastAsia="en-AU" w:bidi="ar-SA"/>
              </w:rPr>
              <w:t>DHA oil</w:t>
            </w:r>
            <w:r w:rsidR="00DA0DC3" w:rsidRPr="00A92233">
              <w:rPr>
                <w:i/>
                <w:szCs w:val="18"/>
                <w:lang w:val="en-GB"/>
              </w:rPr>
              <w:t xml:space="preserve"> Schizochytrium</w:t>
            </w:r>
            <w:r w:rsidR="00DA0DC3" w:rsidRPr="00A92233">
              <w:rPr>
                <w:szCs w:val="18"/>
                <w:lang w:val="en-GB"/>
              </w:rPr>
              <w:t xml:space="preserve"> sp</w:t>
            </w:r>
            <w:r w:rsidR="00DC199C" w:rsidRPr="00A92233">
              <w:rPr>
                <w:vertAlign w:val="superscript"/>
                <w:lang w:val="en-GB" w:eastAsia="en-AU" w:bidi="ar-SA"/>
              </w:rPr>
              <w:t>2</w:t>
            </w:r>
          </w:p>
        </w:tc>
        <w:tc>
          <w:tcPr>
            <w:tcW w:w="1803" w:type="dxa"/>
            <w:tcMar>
              <w:left w:w="28" w:type="dxa"/>
              <w:right w:w="28" w:type="dxa"/>
            </w:tcMar>
          </w:tcPr>
          <w:p w14:paraId="51878065" w14:textId="52A8DD9E" w:rsidR="00FA3C58" w:rsidRPr="00A92233" w:rsidRDefault="009A6C87" w:rsidP="002C1759">
            <w:pPr>
              <w:pStyle w:val="FSTableText"/>
              <w:keepNext/>
              <w:keepLines/>
              <w:widowControl/>
              <w:jc w:val="center"/>
              <w:cnfStyle w:val="100000000000" w:firstRow="1" w:lastRow="0" w:firstColumn="0" w:lastColumn="0" w:oddVBand="0" w:evenVBand="0" w:oddHBand="0" w:evenHBand="0" w:firstRowFirstColumn="0" w:firstRowLastColumn="0" w:lastRowFirstColumn="0" w:lastRowLastColumn="0"/>
              <w:rPr>
                <w:i/>
                <w:color w:val="auto"/>
                <w:szCs w:val="18"/>
                <w:lang w:val="en-GB"/>
              </w:rPr>
            </w:pPr>
            <w:r w:rsidRPr="00A92233">
              <w:rPr>
                <w:lang w:val="en-GB" w:eastAsia="en-AU" w:bidi="ar-SA"/>
              </w:rPr>
              <w:t>DHA</w:t>
            </w:r>
            <w:r w:rsidR="00FA3C58" w:rsidRPr="00A92233">
              <w:rPr>
                <w:lang w:val="en-GB" w:eastAsia="en-AU" w:bidi="ar-SA"/>
              </w:rPr>
              <w:t xml:space="preserve">  </w:t>
            </w:r>
            <w:r w:rsidR="00DC199C" w:rsidRPr="00A92233">
              <w:rPr>
                <w:lang w:val="en-GB" w:eastAsia="en-AU" w:bidi="ar-SA"/>
              </w:rPr>
              <w:t>o</w:t>
            </w:r>
            <w:r w:rsidRPr="00A92233">
              <w:rPr>
                <w:lang w:val="en-GB" w:eastAsia="en-AU" w:bidi="ar-SA"/>
              </w:rPr>
              <w:t>il</w:t>
            </w:r>
            <w:r w:rsidR="00DA0DC3" w:rsidRPr="00A92233">
              <w:rPr>
                <w:i/>
                <w:szCs w:val="18"/>
                <w:lang w:val="en-GB"/>
              </w:rPr>
              <w:t xml:space="preserve"> </w:t>
            </w:r>
          </w:p>
          <w:p w14:paraId="3943C75F" w14:textId="56557124" w:rsidR="009A6C87" w:rsidRPr="00A92233" w:rsidRDefault="00DA0DC3" w:rsidP="002C1759">
            <w:pPr>
              <w:pStyle w:val="FSTableText"/>
              <w:keepNext/>
              <w:keepLines/>
              <w:widowControl/>
              <w:jc w:val="center"/>
              <w:cnfStyle w:val="100000000000" w:firstRow="1" w:lastRow="0" w:firstColumn="0" w:lastColumn="0" w:oddVBand="0" w:evenVBand="0" w:oddHBand="0" w:evenHBand="0" w:firstRowFirstColumn="0" w:firstRowLastColumn="0" w:lastRowFirstColumn="0" w:lastRowLastColumn="0"/>
              <w:rPr>
                <w:b w:val="0"/>
                <w:color w:val="auto"/>
                <w:lang w:val="en-GB" w:eastAsia="en-AU" w:bidi="ar-SA"/>
              </w:rPr>
            </w:pPr>
            <w:r w:rsidRPr="00A92233">
              <w:rPr>
                <w:i/>
                <w:szCs w:val="18"/>
                <w:lang w:val="en-GB"/>
              </w:rPr>
              <w:t>Cyrpto</w:t>
            </w:r>
            <w:r w:rsidR="00DC199C" w:rsidRPr="00A92233">
              <w:rPr>
                <w:i/>
                <w:szCs w:val="18"/>
                <w:lang w:val="en-GB"/>
              </w:rPr>
              <w:t>-</w:t>
            </w:r>
            <w:r w:rsidRPr="00A92233">
              <w:rPr>
                <w:i/>
                <w:szCs w:val="18"/>
                <w:lang w:val="en-GB"/>
              </w:rPr>
              <w:t>thecodimium cohnii</w:t>
            </w:r>
            <w:r w:rsidRPr="00A92233">
              <w:rPr>
                <w:szCs w:val="18"/>
                <w:lang w:val="en-GB"/>
              </w:rPr>
              <w:t xml:space="preserve"> </w:t>
            </w:r>
            <w:r w:rsidR="00097E1E" w:rsidRPr="00A92233">
              <w:rPr>
                <w:vertAlign w:val="superscript"/>
                <w:lang w:val="en-GB" w:eastAsia="en-AU" w:bidi="ar-SA"/>
              </w:rPr>
              <w:t>3</w:t>
            </w:r>
          </w:p>
        </w:tc>
        <w:tc>
          <w:tcPr>
            <w:tcW w:w="1193" w:type="dxa"/>
          </w:tcPr>
          <w:p w14:paraId="7400F839" w14:textId="7EB2C958" w:rsidR="009A6C87" w:rsidRPr="00A92233" w:rsidRDefault="00C06F0F" w:rsidP="002C1759">
            <w:pPr>
              <w:pStyle w:val="FSTableText"/>
              <w:keepNext/>
              <w:keepLines/>
              <w:widowControl/>
              <w:jc w:val="center"/>
              <w:cnfStyle w:val="100000000000" w:firstRow="1"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DHA oil</w:t>
            </w:r>
            <w:r w:rsidRPr="00A92233">
              <w:rPr>
                <w:i/>
                <w:lang w:val="en-GB" w:eastAsia="en-AU" w:bidi="ar-SA"/>
              </w:rPr>
              <w:t xml:space="preserve"> </w:t>
            </w:r>
            <w:r w:rsidR="009A6C87" w:rsidRPr="00A92233">
              <w:rPr>
                <w:i/>
                <w:lang w:val="en-GB" w:eastAsia="en-AU" w:bidi="ar-SA"/>
              </w:rPr>
              <w:t>Ulkenia</w:t>
            </w:r>
            <w:r w:rsidR="009A6C87" w:rsidRPr="00A92233">
              <w:rPr>
                <w:lang w:val="en-GB" w:eastAsia="en-AU" w:bidi="ar-SA"/>
              </w:rPr>
              <w:t xml:space="preserve"> sp</w:t>
            </w:r>
            <w:r w:rsidR="00097E1E" w:rsidRPr="00A92233">
              <w:rPr>
                <w:vertAlign w:val="superscript"/>
                <w:lang w:val="en-GB" w:eastAsia="en-AU" w:bidi="ar-SA"/>
              </w:rPr>
              <w:t>4</w:t>
            </w:r>
          </w:p>
        </w:tc>
        <w:tc>
          <w:tcPr>
            <w:tcW w:w="1436" w:type="dxa"/>
            <w:tcMar>
              <w:left w:w="28" w:type="dxa"/>
              <w:right w:w="28" w:type="dxa"/>
            </w:tcMar>
          </w:tcPr>
          <w:p w14:paraId="643FA681" w14:textId="724372A7" w:rsidR="009A6C87" w:rsidRPr="00A92233" w:rsidRDefault="009A6C87" w:rsidP="002C1759">
            <w:pPr>
              <w:pStyle w:val="FSTableText"/>
              <w:keepNext/>
              <w:keepLines/>
              <w:widowControl/>
              <w:jc w:val="center"/>
              <w:cnfStyle w:val="100000000000" w:firstRow="1"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Breast</w:t>
            </w:r>
            <w:r w:rsidR="0073217F">
              <w:rPr>
                <w:lang w:val="en-GB" w:eastAsia="en-AU" w:bidi="ar-SA"/>
              </w:rPr>
              <w:t xml:space="preserve"> </w:t>
            </w:r>
            <w:r w:rsidRPr="00A92233">
              <w:rPr>
                <w:lang w:val="en-GB" w:eastAsia="en-AU" w:bidi="ar-SA"/>
              </w:rPr>
              <w:t>milk</w:t>
            </w:r>
            <w:r w:rsidR="00097E1E" w:rsidRPr="00A92233">
              <w:rPr>
                <w:vertAlign w:val="superscript"/>
                <w:lang w:val="en-GB" w:eastAsia="en-AU" w:bidi="ar-SA"/>
              </w:rPr>
              <w:t>5</w:t>
            </w:r>
          </w:p>
        </w:tc>
      </w:tr>
      <w:tr w:rsidR="00A92233" w:rsidRPr="00DE5269" w14:paraId="44B74593" w14:textId="77777777" w:rsidTr="00A92233">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2919" w:type="dxa"/>
          </w:tcPr>
          <w:p w14:paraId="4D1F3570" w14:textId="6BB11A21" w:rsidR="00A92233" w:rsidRPr="00A92233" w:rsidRDefault="00A92233" w:rsidP="002C1759">
            <w:pPr>
              <w:pStyle w:val="FSTableText"/>
              <w:keepNext/>
              <w:keepLines/>
              <w:widowControl/>
              <w:rPr>
                <w:color w:val="auto"/>
                <w:lang w:val="en-GB" w:eastAsia="en-AU" w:bidi="ar-SA"/>
              </w:rPr>
            </w:pPr>
            <w:r w:rsidRPr="00A92233">
              <w:rPr>
                <w:lang w:val="en-GB" w:eastAsia="en-AU" w:bidi="ar-SA"/>
              </w:rPr>
              <w:t>Lauric acid</w:t>
            </w:r>
          </w:p>
        </w:tc>
        <w:tc>
          <w:tcPr>
            <w:tcW w:w="1235" w:type="dxa"/>
          </w:tcPr>
          <w:p w14:paraId="6C9901E4" w14:textId="31FCC2D7" w:rsidR="00A92233" w:rsidRPr="00A92233" w:rsidRDefault="00A92233"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12:0</w:t>
            </w:r>
          </w:p>
        </w:tc>
        <w:tc>
          <w:tcPr>
            <w:tcW w:w="1230" w:type="dxa"/>
          </w:tcPr>
          <w:p w14:paraId="4151E5ED" w14:textId="6D91609E"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&lt;0.1</w:t>
            </w:r>
          </w:p>
        </w:tc>
        <w:tc>
          <w:tcPr>
            <w:tcW w:w="1808" w:type="dxa"/>
            <w:tcMar>
              <w:left w:w="28" w:type="dxa"/>
              <w:right w:w="28" w:type="dxa"/>
            </w:tcMar>
          </w:tcPr>
          <w:p w14:paraId="7DEE7F93"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0.4</w:t>
            </w:r>
          </w:p>
        </w:tc>
        <w:tc>
          <w:tcPr>
            <w:tcW w:w="1803" w:type="dxa"/>
            <w:tcMar>
              <w:left w:w="28" w:type="dxa"/>
              <w:right w:w="28" w:type="dxa"/>
            </w:tcMar>
          </w:tcPr>
          <w:p w14:paraId="41A1195F"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4.4</w:t>
            </w:r>
          </w:p>
        </w:tc>
        <w:tc>
          <w:tcPr>
            <w:tcW w:w="1193" w:type="dxa"/>
          </w:tcPr>
          <w:p w14:paraId="17382C98"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611383E1" w14:textId="2FC67632"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0B5B8D44" w14:textId="77777777" w:rsidTr="00A92233">
        <w:trPr>
          <w:cantSplit/>
          <w:trHeight w:val="251"/>
        </w:trPr>
        <w:tc>
          <w:tcPr>
            <w:cnfStyle w:val="001000000000" w:firstRow="0" w:lastRow="0" w:firstColumn="1" w:lastColumn="0" w:oddVBand="0" w:evenVBand="0" w:oddHBand="0" w:evenHBand="0" w:firstRowFirstColumn="0" w:firstRowLastColumn="0" w:lastRowFirstColumn="0" w:lastRowLastColumn="0"/>
            <w:tcW w:w="2919" w:type="dxa"/>
          </w:tcPr>
          <w:p w14:paraId="45F4F563" w14:textId="5E81AC93" w:rsidR="00A92233" w:rsidRPr="00A92233" w:rsidRDefault="00A92233" w:rsidP="002C1759">
            <w:pPr>
              <w:pStyle w:val="FSTableText"/>
              <w:keepNext/>
              <w:keepLines/>
              <w:widowControl/>
              <w:rPr>
                <w:color w:val="auto"/>
                <w:lang w:val="en-GB" w:eastAsia="en-AU" w:bidi="ar-SA"/>
              </w:rPr>
            </w:pPr>
            <w:r w:rsidRPr="00A92233">
              <w:rPr>
                <w:lang w:val="en-GB" w:eastAsia="en-AU" w:bidi="ar-SA"/>
              </w:rPr>
              <w:t>Myristic acid</w:t>
            </w:r>
          </w:p>
        </w:tc>
        <w:tc>
          <w:tcPr>
            <w:tcW w:w="1235" w:type="dxa"/>
          </w:tcPr>
          <w:p w14:paraId="69E01265" w14:textId="5202825E" w:rsidR="00A92233" w:rsidRPr="00A92233" w:rsidRDefault="00A92233" w:rsidP="002C1759">
            <w:pPr>
              <w:pStyle w:val="FSTableText"/>
              <w:keepNext/>
              <w:keepLines/>
              <w:widowControl/>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14:0</w:t>
            </w:r>
          </w:p>
        </w:tc>
        <w:tc>
          <w:tcPr>
            <w:tcW w:w="1230" w:type="dxa"/>
          </w:tcPr>
          <w:p w14:paraId="6176C0C3" w14:textId="7D346F8D"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1.18</w:t>
            </w:r>
          </w:p>
        </w:tc>
        <w:tc>
          <w:tcPr>
            <w:tcW w:w="1808" w:type="dxa"/>
            <w:tcMar>
              <w:left w:w="28" w:type="dxa"/>
              <w:right w:w="28" w:type="dxa"/>
            </w:tcMar>
          </w:tcPr>
          <w:p w14:paraId="23CDE4F7"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10.1</w:t>
            </w:r>
          </w:p>
        </w:tc>
        <w:tc>
          <w:tcPr>
            <w:tcW w:w="1803" w:type="dxa"/>
            <w:tcMar>
              <w:left w:w="28" w:type="dxa"/>
              <w:right w:w="28" w:type="dxa"/>
            </w:tcMar>
          </w:tcPr>
          <w:p w14:paraId="2CD58F54"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12.7</w:t>
            </w:r>
          </w:p>
        </w:tc>
        <w:tc>
          <w:tcPr>
            <w:tcW w:w="1193" w:type="dxa"/>
          </w:tcPr>
          <w:p w14:paraId="47F0BA79"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2.7</w:t>
            </w:r>
          </w:p>
        </w:tc>
        <w:tc>
          <w:tcPr>
            <w:tcW w:w="1436" w:type="dxa"/>
            <w:tcMar>
              <w:left w:w="28" w:type="dxa"/>
              <w:right w:w="28" w:type="dxa"/>
            </w:tcMar>
          </w:tcPr>
          <w:p w14:paraId="792E96C9" w14:textId="4A5FF688"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7E66E09C" w14:textId="77777777" w:rsidTr="00A92233">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2919" w:type="dxa"/>
          </w:tcPr>
          <w:p w14:paraId="52472113" w14:textId="0E00A8FF" w:rsidR="00A92233" w:rsidRPr="00A92233" w:rsidRDefault="00A92233" w:rsidP="002C1759">
            <w:pPr>
              <w:pStyle w:val="FSTableText"/>
              <w:keepNext/>
              <w:keepLines/>
              <w:widowControl/>
              <w:rPr>
                <w:color w:val="auto"/>
                <w:lang w:val="en-GB" w:eastAsia="en-AU" w:bidi="ar-SA"/>
              </w:rPr>
            </w:pPr>
            <w:r w:rsidRPr="00A92233">
              <w:rPr>
                <w:lang w:val="en-GB" w:eastAsia="en-AU" w:bidi="ar-SA"/>
              </w:rPr>
              <w:t>Palmitic acid</w:t>
            </w:r>
          </w:p>
        </w:tc>
        <w:tc>
          <w:tcPr>
            <w:tcW w:w="1235" w:type="dxa"/>
          </w:tcPr>
          <w:p w14:paraId="6725102E" w14:textId="1E8CEF5F" w:rsidR="00A92233" w:rsidRPr="00A92233" w:rsidRDefault="00A92233"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16:0</w:t>
            </w:r>
          </w:p>
        </w:tc>
        <w:tc>
          <w:tcPr>
            <w:tcW w:w="1230" w:type="dxa"/>
          </w:tcPr>
          <w:p w14:paraId="0DCCB8A9" w14:textId="5FA872A0"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14.49</w:t>
            </w:r>
          </w:p>
        </w:tc>
        <w:tc>
          <w:tcPr>
            <w:tcW w:w="1808" w:type="dxa"/>
            <w:tcMar>
              <w:left w:w="28" w:type="dxa"/>
              <w:right w:w="28" w:type="dxa"/>
            </w:tcMar>
          </w:tcPr>
          <w:p w14:paraId="01D4EE4F"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23.7</w:t>
            </w:r>
          </w:p>
        </w:tc>
        <w:tc>
          <w:tcPr>
            <w:tcW w:w="1803" w:type="dxa"/>
            <w:tcMar>
              <w:left w:w="28" w:type="dxa"/>
              <w:right w:w="28" w:type="dxa"/>
            </w:tcMar>
          </w:tcPr>
          <w:p w14:paraId="60C7080A"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9.7</w:t>
            </w:r>
          </w:p>
        </w:tc>
        <w:tc>
          <w:tcPr>
            <w:tcW w:w="1193" w:type="dxa"/>
          </w:tcPr>
          <w:p w14:paraId="7AA96EBA"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32.9</w:t>
            </w:r>
          </w:p>
        </w:tc>
        <w:tc>
          <w:tcPr>
            <w:tcW w:w="1436" w:type="dxa"/>
            <w:tcMar>
              <w:left w:w="28" w:type="dxa"/>
              <w:right w:w="28" w:type="dxa"/>
            </w:tcMar>
          </w:tcPr>
          <w:p w14:paraId="5109C211" w14:textId="46F7082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50389580" w14:textId="77777777" w:rsidTr="00A92233">
        <w:trPr>
          <w:cantSplit/>
          <w:trHeight w:val="251"/>
        </w:trPr>
        <w:tc>
          <w:tcPr>
            <w:cnfStyle w:val="001000000000" w:firstRow="0" w:lastRow="0" w:firstColumn="1" w:lastColumn="0" w:oddVBand="0" w:evenVBand="0" w:oddHBand="0" w:evenHBand="0" w:firstRowFirstColumn="0" w:firstRowLastColumn="0" w:lastRowFirstColumn="0" w:lastRowLastColumn="0"/>
            <w:tcW w:w="2919" w:type="dxa"/>
          </w:tcPr>
          <w:p w14:paraId="4BC3CA17" w14:textId="47093304" w:rsidR="00A92233" w:rsidRPr="00A92233" w:rsidRDefault="00A92233" w:rsidP="002C1759">
            <w:pPr>
              <w:pStyle w:val="FSTableText"/>
              <w:keepNext/>
              <w:keepLines/>
              <w:widowControl/>
              <w:rPr>
                <w:color w:val="auto"/>
                <w:lang w:val="en-GB" w:eastAsia="en-AU" w:bidi="ar-SA"/>
              </w:rPr>
            </w:pPr>
            <w:r w:rsidRPr="00A92233">
              <w:rPr>
                <w:lang w:val="en-GB" w:eastAsia="en-AU" w:bidi="ar-SA"/>
              </w:rPr>
              <w:t>Palmitoleic acid</w:t>
            </w:r>
          </w:p>
        </w:tc>
        <w:tc>
          <w:tcPr>
            <w:tcW w:w="1235" w:type="dxa"/>
          </w:tcPr>
          <w:p w14:paraId="62C877CD" w14:textId="005A165E" w:rsidR="00A92233" w:rsidRPr="00A92233" w:rsidRDefault="00A92233" w:rsidP="002C1759">
            <w:pPr>
              <w:pStyle w:val="FSTableText"/>
              <w:keepNext/>
              <w:keepLines/>
              <w:widowControl/>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16:1n-7</w:t>
            </w:r>
          </w:p>
        </w:tc>
        <w:tc>
          <w:tcPr>
            <w:tcW w:w="1230" w:type="dxa"/>
          </w:tcPr>
          <w:p w14:paraId="312CB34A" w14:textId="5C424E72"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808" w:type="dxa"/>
            <w:tcMar>
              <w:left w:w="28" w:type="dxa"/>
              <w:right w:w="28" w:type="dxa"/>
            </w:tcMar>
          </w:tcPr>
          <w:p w14:paraId="1AE6FD0B"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1.8</w:t>
            </w:r>
          </w:p>
        </w:tc>
        <w:tc>
          <w:tcPr>
            <w:tcW w:w="1803" w:type="dxa"/>
            <w:tcMar>
              <w:left w:w="28" w:type="dxa"/>
              <w:right w:w="28" w:type="dxa"/>
            </w:tcMar>
          </w:tcPr>
          <w:p w14:paraId="2A865CB3"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11DDD89D"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06CBB703" w14:textId="4B34E385"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11F7332B" w14:textId="77777777" w:rsidTr="00A92233">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2919" w:type="dxa"/>
          </w:tcPr>
          <w:p w14:paraId="25CC3E2C" w14:textId="4AEB980C" w:rsidR="00A92233" w:rsidRPr="00A92233" w:rsidRDefault="00A92233" w:rsidP="002C1759">
            <w:pPr>
              <w:pStyle w:val="FSTableText"/>
              <w:keepNext/>
              <w:keepLines/>
              <w:widowControl/>
              <w:rPr>
                <w:color w:val="auto"/>
                <w:lang w:val="en-GB" w:eastAsia="en-AU" w:bidi="ar-SA"/>
              </w:rPr>
            </w:pPr>
            <w:r w:rsidRPr="00A92233">
              <w:rPr>
                <w:lang w:val="en-GB" w:eastAsia="en-AU" w:bidi="ar-SA"/>
              </w:rPr>
              <w:t>Stearic acid</w:t>
            </w:r>
          </w:p>
        </w:tc>
        <w:tc>
          <w:tcPr>
            <w:tcW w:w="1235" w:type="dxa"/>
          </w:tcPr>
          <w:p w14:paraId="7649064A" w14:textId="54A6F254" w:rsidR="00A92233" w:rsidRPr="00A92233" w:rsidRDefault="00A92233"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18:0</w:t>
            </w:r>
          </w:p>
        </w:tc>
        <w:tc>
          <w:tcPr>
            <w:tcW w:w="1230" w:type="dxa"/>
          </w:tcPr>
          <w:p w14:paraId="2779DC54" w14:textId="76C861F3"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1.52</w:t>
            </w:r>
          </w:p>
        </w:tc>
        <w:tc>
          <w:tcPr>
            <w:tcW w:w="1808" w:type="dxa"/>
            <w:tcMar>
              <w:left w:w="28" w:type="dxa"/>
              <w:right w:w="28" w:type="dxa"/>
            </w:tcMar>
          </w:tcPr>
          <w:p w14:paraId="09063ACA"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0.5</w:t>
            </w:r>
          </w:p>
        </w:tc>
        <w:tc>
          <w:tcPr>
            <w:tcW w:w="1803" w:type="dxa"/>
            <w:tcMar>
              <w:left w:w="28" w:type="dxa"/>
              <w:right w:w="28" w:type="dxa"/>
            </w:tcMar>
          </w:tcPr>
          <w:p w14:paraId="4F0A1AAB"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1.1</w:t>
            </w:r>
          </w:p>
        </w:tc>
        <w:tc>
          <w:tcPr>
            <w:tcW w:w="1193" w:type="dxa"/>
          </w:tcPr>
          <w:p w14:paraId="18E8C68A"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1.1</w:t>
            </w:r>
          </w:p>
        </w:tc>
        <w:tc>
          <w:tcPr>
            <w:tcW w:w="1436" w:type="dxa"/>
            <w:tcMar>
              <w:left w:w="28" w:type="dxa"/>
              <w:right w:w="28" w:type="dxa"/>
            </w:tcMar>
          </w:tcPr>
          <w:p w14:paraId="35156CAF" w14:textId="2F7231C1"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008DE3E2" w14:textId="77777777" w:rsidTr="00A92233">
        <w:trPr>
          <w:cantSplit/>
          <w:trHeight w:val="265"/>
        </w:trPr>
        <w:tc>
          <w:tcPr>
            <w:cnfStyle w:val="001000000000" w:firstRow="0" w:lastRow="0" w:firstColumn="1" w:lastColumn="0" w:oddVBand="0" w:evenVBand="0" w:oddHBand="0" w:evenHBand="0" w:firstRowFirstColumn="0" w:firstRowLastColumn="0" w:lastRowFirstColumn="0" w:lastRowLastColumn="0"/>
            <w:tcW w:w="2919" w:type="dxa"/>
          </w:tcPr>
          <w:p w14:paraId="5372B7EF" w14:textId="748BBA2C" w:rsidR="00A92233" w:rsidRPr="00A92233" w:rsidRDefault="00A92233" w:rsidP="002C1759">
            <w:pPr>
              <w:pStyle w:val="FSTableText"/>
              <w:keepNext/>
              <w:keepLines/>
              <w:widowControl/>
              <w:rPr>
                <w:color w:val="auto"/>
                <w:lang w:val="en-GB" w:eastAsia="en-AU" w:bidi="ar-SA"/>
              </w:rPr>
            </w:pPr>
            <w:r w:rsidRPr="00A92233">
              <w:rPr>
                <w:lang w:val="en-GB" w:eastAsia="en-AU" w:bidi="ar-SA"/>
              </w:rPr>
              <w:t>Vaccenic acid</w:t>
            </w:r>
          </w:p>
        </w:tc>
        <w:tc>
          <w:tcPr>
            <w:tcW w:w="1235" w:type="dxa"/>
          </w:tcPr>
          <w:p w14:paraId="7800D0E8" w14:textId="133209BF" w:rsidR="00A92233" w:rsidRPr="00A92233" w:rsidRDefault="00A92233" w:rsidP="002C1759">
            <w:pPr>
              <w:pStyle w:val="FSTableText"/>
              <w:keepNext/>
              <w:keepLines/>
              <w:widowControl/>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18:1n-7</w:t>
            </w:r>
          </w:p>
        </w:tc>
        <w:tc>
          <w:tcPr>
            <w:tcW w:w="1230" w:type="dxa"/>
          </w:tcPr>
          <w:p w14:paraId="73073851" w14:textId="00628EC2"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0.26</w:t>
            </w:r>
          </w:p>
        </w:tc>
        <w:tc>
          <w:tcPr>
            <w:tcW w:w="1808" w:type="dxa"/>
            <w:tcMar>
              <w:left w:w="28" w:type="dxa"/>
              <w:right w:w="28" w:type="dxa"/>
            </w:tcMar>
          </w:tcPr>
          <w:p w14:paraId="77087C39"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0.7</w:t>
            </w:r>
          </w:p>
        </w:tc>
        <w:tc>
          <w:tcPr>
            <w:tcW w:w="1803" w:type="dxa"/>
            <w:tcMar>
              <w:left w:w="28" w:type="dxa"/>
              <w:right w:w="28" w:type="dxa"/>
            </w:tcMar>
          </w:tcPr>
          <w:p w14:paraId="1B92A034" w14:textId="5DC698C6"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444C3921"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3B38792F" w14:textId="14149458"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0D679F67" w14:textId="77777777" w:rsidTr="00A92233">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2919" w:type="dxa"/>
          </w:tcPr>
          <w:p w14:paraId="5E6C067A" w14:textId="3AB6DBA1" w:rsidR="00A92233" w:rsidRPr="00A92233" w:rsidRDefault="00A92233" w:rsidP="002C1759">
            <w:pPr>
              <w:pStyle w:val="FSTableText"/>
              <w:keepNext/>
              <w:keepLines/>
              <w:widowControl/>
              <w:rPr>
                <w:color w:val="auto"/>
                <w:lang w:val="en-GB" w:eastAsia="en-AU" w:bidi="ar-SA"/>
              </w:rPr>
            </w:pPr>
            <w:r w:rsidRPr="00A92233">
              <w:rPr>
                <w:lang w:val="en-GB" w:eastAsia="en-AU" w:bidi="ar-SA"/>
              </w:rPr>
              <w:t>Linoleic acid</w:t>
            </w:r>
          </w:p>
        </w:tc>
        <w:tc>
          <w:tcPr>
            <w:tcW w:w="1235" w:type="dxa"/>
          </w:tcPr>
          <w:p w14:paraId="400B69BF" w14:textId="1BA8E59B" w:rsidR="00A92233" w:rsidRPr="00A92233" w:rsidRDefault="00A92233"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18:2n-6</w:t>
            </w:r>
          </w:p>
        </w:tc>
        <w:tc>
          <w:tcPr>
            <w:tcW w:w="1230" w:type="dxa"/>
          </w:tcPr>
          <w:p w14:paraId="71416B0F" w14:textId="600B561B"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1.82</w:t>
            </w:r>
          </w:p>
        </w:tc>
        <w:tc>
          <w:tcPr>
            <w:tcW w:w="1808" w:type="dxa"/>
            <w:tcMar>
              <w:left w:w="28" w:type="dxa"/>
              <w:right w:w="28" w:type="dxa"/>
            </w:tcMar>
          </w:tcPr>
          <w:p w14:paraId="75B50399"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803" w:type="dxa"/>
            <w:tcMar>
              <w:left w:w="28" w:type="dxa"/>
              <w:right w:w="28" w:type="dxa"/>
            </w:tcMar>
          </w:tcPr>
          <w:p w14:paraId="3C580D2D"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1.2</w:t>
            </w:r>
          </w:p>
        </w:tc>
        <w:tc>
          <w:tcPr>
            <w:tcW w:w="1193" w:type="dxa"/>
          </w:tcPr>
          <w:p w14:paraId="7040E750"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04F6DC21" w14:textId="4BBA074C"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6DC79ECF" w14:textId="77777777" w:rsidTr="00A92233">
        <w:trPr>
          <w:cantSplit/>
          <w:trHeight w:val="516"/>
        </w:trPr>
        <w:tc>
          <w:tcPr>
            <w:cnfStyle w:val="001000000000" w:firstRow="0" w:lastRow="0" w:firstColumn="1" w:lastColumn="0" w:oddVBand="0" w:evenVBand="0" w:oddHBand="0" w:evenHBand="0" w:firstRowFirstColumn="0" w:firstRowLastColumn="0" w:lastRowFirstColumn="0" w:lastRowLastColumn="0"/>
            <w:tcW w:w="2919" w:type="dxa"/>
          </w:tcPr>
          <w:p w14:paraId="5B5AFBD9" w14:textId="787215C4" w:rsidR="00A92233" w:rsidRPr="00A92233" w:rsidRDefault="00A92233" w:rsidP="002C1759">
            <w:pPr>
              <w:pStyle w:val="FSTableText"/>
              <w:keepNext/>
              <w:keepLines/>
              <w:widowControl/>
              <w:rPr>
                <w:color w:val="auto"/>
                <w:lang w:val="en-GB" w:eastAsia="en-AU" w:bidi="ar-SA"/>
              </w:rPr>
            </w:pPr>
            <w:r w:rsidRPr="00A92233">
              <w:rPr>
                <w:lang w:val="en-GB" w:eastAsia="en-AU" w:bidi="ar-SA"/>
              </w:rPr>
              <w:t>Linolenic acid</w:t>
            </w:r>
          </w:p>
        </w:tc>
        <w:tc>
          <w:tcPr>
            <w:tcW w:w="1235" w:type="dxa"/>
          </w:tcPr>
          <w:p w14:paraId="32AA6795" w14:textId="1C6FACE7" w:rsidR="00A92233" w:rsidRPr="00A92233" w:rsidRDefault="00A92233" w:rsidP="002C1759">
            <w:pPr>
              <w:pStyle w:val="FSTableText"/>
              <w:keepNext/>
              <w:keepLines/>
              <w:widowControl/>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18;3n-3,n-6</w:t>
            </w:r>
          </w:p>
        </w:tc>
        <w:tc>
          <w:tcPr>
            <w:tcW w:w="1230" w:type="dxa"/>
          </w:tcPr>
          <w:p w14:paraId="4C7C8DF8" w14:textId="2DF33B6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&lt;0.1</w:t>
            </w:r>
          </w:p>
        </w:tc>
        <w:tc>
          <w:tcPr>
            <w:tcW w:w="1808" w:type="dxa"/>
            <w:tcMar>
              <w:left w:w="28" w:type="dxa"/>
              <w:right w:w="28" w:type="dxa"/>
            </w:tcMar>
          </w:tcPr>
          <w:p w14:paraId="615F50A3"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803" w:type="dxa"/>
            <w:tcMar>
              <w:left w:w="28" w:type="dxa"/>
              <w:right w:w="28" w:type="dxa"/>
            </w:tcMar>
          </w:tcPr>
          <w:p w14:paraId="20A56C7C"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75078998"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3D3678DE" w14:textId="72671A8A"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7FD287F8" w14:textId="77777777" w:rsidTr="00A92233">
        <w:trPr>
          <w:cnfStyle w:val="000000100000" w:firstRow="0" w:lastRow="0" w:firstColumn="0" w:lastColumn="0" w:oddVBand="0" w:evenVBand="0" w:oddHBand="1" w:evenHBand="0" w:firstRowFirstColumn="0" w:firstRowLastColumn="0" w:lastRowFirstColumn="0" w:lastRowLastColumn="0"/>
          <w:cantSplit/>
          <w:trHeight w:val="516"/>
        </w:trPr>
        <w:tc>
          <w:tcPr>
            <w:cnfStyle w:val="001000000000" w:firstRow="0" w:lastRow="0" w:firstColumn="1" w:lastColumn="0" w:oddVBand="0" w:evenVBand="0" w:oddHBand="0" w:evenHBand="0" w:firstRowFirstColumn="0" w:firstRowLastColumn="0" w:lastRowFirstColumn="0" w:lastRowLastColumn="0"/>
            <w:tcW w:w="2919" w:type="dxa"/>
          </w:tcPr>
          <w:p w14:paraId="1E2453F4" w14:textId="58313264" w:rsidR="00A92233" w:rsidRPr="00A92233" w:rsidRDefault="00A92233" w:rsidP="002C1759">
            <w:pPr>
              <w:pStyle w:val="FSTableText"/>
              <w:keepNext/>
              <w:keepLines/>
              <w:widowControl/>
              <w:rPr>
                <w:color w:val="auto"/>
                <w:lang w:val="en-GB" w:eastAsia="en-AU" w:bidi="ar-SA"/>
              </w:rPr>
            </w:pPr>
            <w:r w:rsidRPr="00A92233">
              <w:rPr>
                <w:lang w:val="en-GB" w:eastAsia="en-AU" w:bidi="ar-SA"/>
              </w:rPr>
              <w:t xml:space="preserve">Octadecatetraenoic acid </w:t>
            </w:r>
          </w:p>
        </w:tc>
        <w:tc>
          <w:tcPr>
            <w:tcW w:w="1235" w:type="dxa"/>
          </w:tcPr>
          <w:p w14:paraId="1026E765" w14:textId="470F7923" w:rsidR="00A92233" w:rsidRPr="00A92233" w:rsidRDefault="00A92233"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18:4n-3</w:t>
            </w:r>
          </w:p>
        </w:tc>
        <w:tc>
          <w:tcPr>
            <w:tcW w:w="1230" w:type="dxa"/>
          </w:tcPr>
          <w:p w14:paraId="72B568B7" w14:textId="673AAE5D"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808" w:type="dxa"/>
            <w:tcMar>
              <w:left w:w="28" w:type="dxa"/>
              <w:right w:w="28" w:type="dxa"/>
            </w:tcMar>
          </w:tcPr>
          <w:p w14:paraId="347F33B6"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0.6</w:t>
            </w:r>
          </w:p>
        </w:tc>
        <w:tc>
          <w:tcPr>
            <w:tcW w:w="1803" w:type="dxa"/>
            <w:tcMar>
              <w:left w:w="28" w:type="dxa"/>
              <w:right w:w="28" w:type="dxa"/>
            </w:tcMar>
          </w:tcPr>
          <w:p w14:paraId="0EEF9115"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0FBBBC2B" w14:textId="77777777"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302E6B2E" w14:textId="7B5A746B" w:rsidR="00A92233"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175942">
              <w:rPr>
                <w:lang w:val="en-GB" w:eastAsia="en-AU" w:bidi="ar-SA"/>
              </w:rPr>
              <w:t>-</w:t>
            </w:r>
          </w:p>
        </w:tc>
      </w:tr>
      <w:tr w:rsidR="00A92233" w:rsidRPr="00DE5269" w14:paraId="7A5C7B5E" w14:textId="77777777" w:rsidTr="00A92233">
        <w:trPr>
          <w:cantSplit/>
          <w:trHeight w:val="503"/>
        </w:trPr>
        <w:tc>
          <w:tcPr>
            <w:cnfStyle w:val="001000000000" w:firstRow="0" w:lastRow="0" w:firstColumn="1" w:lastColumn="0" w:oddVBand="0" w:evenVBand="0" w:oddHBand="0" w:evenHBand="0" w:firstRowFirstColumn="0" w:firstRowLastColumn="0" w:lastRowFirstColumn="0" w:lastRowLastColumn="0"/>
            <w:tcW w:w="2919" w:type="dxa"/>
          </w:tcPr>
          <w:p w14:paraId="4AB72124" w14:textId="0E29F9A2" w:rsidR="00A92233" w:rsidRPr="00A92233" w:rsidRDefault="00A92233" w:rsidP="002C1759">
            <w:pPr>
              <w:pStyle w:val="FSTableText"/>
              <w:keepNext/>
              <w:keepLines/>
              <w:widowControl/>
              <w:rPr>
                <w:color w:val="auto"/>
                <w:lang w:val="en-GB" w:eastAsia="en-AU" w:bidi="ar-SA"/>
              </w:rPr>
            </w:pPr>
            <w:r w:rsidRPr="00A92233">
              <w:rPr>
                <w:lang w:val="en-GB" w:eastAsia="en-AU" w:bidi="ar-SA"/>
              </w:rPr>
              <w:t>Dihomogammalinolenic &amp; eicosatetraenoic n-7</w:t>
            </w:r>
          </w:p>
        </w:tc>
        <w:tc>
          <w:tcPr>
            <w:tcW w:w="1235" w:type="dxa"/>
          </w:tcPr>
          <w:p w14:paraId="4B1A2749" w14:textId="0EA0411E" w:rsidR="00A92233" w:rsidRPr="00A92233" w:rsidRDefault="00A92233" w:rsidP="002C1759">
            <w:pPr>
              <w:pStyle w:val="FSTableText"/>
              <w:keepNext/>
              <w:keepLines/>
              <w:widowControl/>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20:3n-6, 20:4n-7</w:t>
            </w:r>
          </w:p>
        </w:tc>
        <w:tc>
          <w:tcPr>
            <w:tcW w:w="1230" w:type="dxa"/>
          </w:tcPr>
          <w:p w14:paraId="6E7F3938" w14:textId="607A3476"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&lt;0.1</w:t>
            </w:r>
          </w:p>
        </w:tc>
        <w:tc>
          <w:tcPr>
            <w:tcW w:w="1808" w:type="dxa"/>
            <w:tcMar>
              <w:left w:w="28" w:type="dxa"/>
              <w:right w:w="28" w:type="dxa"/>
            </w:tcMar>
          </w:tcPr>
          <w:p w14:paraId="21C2FCB3"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2.2</w:t>
            </w:r>
          </w:p>
        </w:tc>
        <w:tc>
          <w:tcPr>
            <w:tcW w:w="1803" w:type="dxa"/>
            <w:tcMar>
              <w:left w:w="28" w:type="dxa"/>
              <w:right w:w="28" w:type="dxa"/>
            </w:tcMar>
          </w:tcPr>
          <w:p w14:paraId="50653379"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701E510C" w14:textId="77777777"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56183956" w14:textId="0DDA638E" w:rsidR="00A92233" w:rsidRPr="00A92233" w:rsidRDefault="00A92233"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175942">
              <w:rPr>
                <w:lang w:val="en-GB" w:eastAsia="en-AU" w:bidi="ar-SA"/>
              </w:rPr>
              <w:t>-</w:t>
            </w:r>
          </w:p>
        </w:tc>
      </w:tr>
      <w:tr w:rsidR="00DC199C" w:rsidRPr="00DE5269" w14:paraId="59E61942" w14:textId="77777777" w:rsidTr="00A92233">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2919" w:type="dxa"/>
          </w:tcPr>
          <w:p w14:paraId="48F5D144" w14:textId="79886875" w:rsidR="009A6C87" w:rsidRPr="00A92233" w:rsidRDefault="009A6C87" w:rsidP="002C1759">
            <w:pPr>
              <w:pStyle w:val="FSTableText"/>
              <w:keepNext/>
              <w:keepLines/>
              <w:widowControl/>
              <w:rPr>
                <w:color w:val="auto"/>
                <w:lang w:val="en-GB" w:eastAsia="en-AU" w:bidi="ar-SA"/>
              </w:rPr>
            </w:pPr>
            <w:r w:rsidRPr="00A92233">
              <w:rPr>
                <w:lang w:val="en-GB" w:eastAsia="en-AU" w:bidi="ar-SA"/>
              </w:rPr>
              <w:t>Arachidonic acid</w:t>
            </w:r>
          </w:p>
        </w:tc>
        <w:tc>
          <w:tcPr>
            <w:tcW w:w="1235" w:type="dxa"/>
          </w:tcPr>
          <w:p w14:paraId="5ADC507A" w14:textId="12A25F26" w:rsidR="009A6C87" w:rsidRPr="00A92233" w:rsidRDefault="009A6C87"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20:4n-6</w:t>
            </w:r>
          </w:p>
        </w:tc>
        <w:tc>
          <w:tcPr>
            <w:tcW w:w="1230" w:type="dxa"/>
          </w:tcPr>
          <w:p w14:paraId="1969EAF5" w14:textId="4B3B88A7"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0.69</w:t>
            </w:r>
          </w:p>
        </w:tc>
        <w:tc>
          <w:tcPr>
            <w:tcW w:w="1808" w:type="dxa"/>
            <w:tcMar>
              <w:left w:w="28" w:type="dxa"/>
              <w:right w:w="28" w:type="dxa"/>
            </w:tcMar>
          </w:tcPr>
          <w:p w14:paraId="0F6776E6" w14:textId="77777777"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1.8</w:t>
            </w:r>
          </w:p>
        </w:tc>
        <w:tc>
          <w:tcPr>
            <w:tcW w:w="1803" w:type="dxa"/>
            <w:tcMar>
              <w:left w:w="28" w:type="dxa"/>
              <w:right w:w="28" w:type="dxa"/>
            </w:tcMar>
          </w:tcPr>
          <w:p w14:paraId="0F490A62" w14:textId="77777777"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67C2FE2F" w14:textId="77777777"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3E9E4C68" w14:textId="1ECFA6E8"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0.47</w:t>
            </w:r>
            <w:r w:rsidR="00097E1E" w:rsidRPr="00A92233">
              <w:rPr>
                <w:vertAlign w:val="superscript"/>
                <w:lang w:val="en-GB" w:eastAsia="en-AU" w:bidi="ar-SA"/>
              </w:rPr>
              <w:t>6</w:t>
            </w:r>
          </w:p>
        </w:tc>
      </w:tr>
      <w:tr w:rsidR="00DC199C" w:rsidRPr="00DE5269" w14:paraId="5A6C88AE" w14:textId="77777777" w:rsidTr="00A92233">
        <w:trPr>
          <w:cantSplit/>
          <w:trHeight w:val="251"/>
        </w:trPr>
        <w:tc>
          <w:tcPr>
            <w:cnfStyle w:val="001000000000" w:firstRow="0" w:lastRow="0" w:firstColumn="1" w:lastColumn="0" w:oddVBand="0" w:evenVBand="0" w:oddHBand="0" w:evenHBand="0" w:firstRowFirstColumn="0" w:firstRowLastColumn="0" w:lastRowFirstColumn="0" w:lastRowLastColumn="0"/>
            <w:tcW w:w="2919" w:type="dxa"/>
          </w:tcPr>
          <w:p w14:paraId="6B63CCE5" w14:textId="0EF46A6A" w:rsidR="009A6C87" w:rsidRPr="00A92233" w:rsidRDefault="009A6C87" w:rsidP="002C1759">
            <w:pPr>
              <w:pStyle w:val="FSTableText"/>
              <w:keepNext/>
              <w:keepLines/>
              <w:widowControl/>
              <w:rPr>
                <w:color w:val="auto"/>
                <w:lang w:val="en-GB" w:eastAsia="en-AU" w:bidi="ar-SA"/>
              </w:rPr>
            </w:pPr>
            <w:r w:rsidRPr="00A92233">
              <w:rPr>
                <w:lang w:val="en-GB" w:eastAsia="en-AU" w:bidi="ar-SA"/>
              </w:rPr>
              <w:t>EPA</w:t>
            </w:r>
          </w:p>
        </w:tc>
        <w:tc>
          <w:tcPr>
            <w:tcW w:w="1235" w:type="dxa"/>
          </w:tcPr>
          <w:p w14:paraId="5E89B189" w14:textId="3D933FE7" w:rsidR="009A6C87" w:rsidRPr="00A92233" w:rsidRDefault="009A6C87" w:rsidP="002C1759">
            <w:pPr>
              <w:pStyle w:val="FSTableText"/>
              <w:keepNext/>
              <w:keepLines/>
              <w:widowControl/>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20:5n-3</w:t>
            </w:r>
          </w:p>
        </w:tc>
        <w:tc>
          <w:tcPr>
            <w:tcW w:w="1230" w:type="dxa"/>
          </w:tcPr>
          <w:p w14:paraId="6EB857D0" w14:textId="45F65D30"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6.23</w:t>
            </w:r>
          </w:p>
        </w:tc>
        <w:tc>
          <w:tcPr>
            <w:tcW w:w="1808" w:type="dxa"/>
            <w:tcMar>
              <w:left w:w="28" w:type="dxa"/>
              <w:right w:w="28" w:type="dxa"/>
            </w:tcMar>
          </w:tcPr>
          <w:p w14:paraId="310DB2AF" w14:textId="77777777"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2.6</w:t>
            </w:r>
          </w:p>
        </w:tc>
        <w:tc>
          <w:tcPr>
            <w:tcW w:w="1803" w:type="dxa"/>
            <w:tcMar>
              <w:left w:w="28" w:type="dxa"/>
              <w:right w:w="28" w:type="dxa"/>
            </w:tcMar>
          </w:tcPr>
          <w:p w14:paraId="758CC19B" w14:textId="77777777"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0CA9B121" w14:textId="77777777"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64FD09C4" w14:textId="26362613"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0.09</w:t>
            </w:r>
            <w:r w:rsidR="00097E1E" w:rsidRPr="00A92233">
              <w:rPr>
                <w:vertAlign w:val="superscript"/>
                <w:lang w:val="en-GB" w:eastAsia="en-AU" w:bidi="ar-SA"/>
              </w:rPr>
              <w:t>7</w:t>
            </w:r>
          </w:p>
        </w:tc>
      </w:tr>
      <w:tr w:rsidR="00DC199C" w:rsidRPr="00DE5269" w14:paraId="00F9C8A3" w14:textId="77777777" w:rsidTr="00A92233">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2919" w:type="dxa"/>
          </w:tcPr>
          <w:p w14:paraId="10C46B4F" w14:textId="5ACFD00D" w:rsidR="009A6C87" w:rsidRPr="00A92233" w:rsidRDefault="009A6C87" w:rsidP="002C1759">
            <w:pPr>
              <w:pStyle w:val="FSTableText"/>
              <w:keepNext/>
              <w:keepLines/>
              <w:widowControl/>
              <w:rPr>
                <w:color w:val="auto"/>
                <w:lang w:val="en-GB" w:eastAsia="en-AU" w:bidi="ar-SA"/>
              </w:rPr>
            </w:pPr>
            <w:r w:rsidRPr="00A92233">
              <w:rPr>
                <w:lang w:val="en-GB" w:eastAsia="en-AU" w:bidi="ar-SA"/>
              </w:rPr>
              <w:t xml:space="preserve">Docosatetraenoic acid </w:t>
            </w:r>
          </w:p>
        </w:tc>
        <w:tc>
          <w:tcPr>
            <w:tcW w:w="1235" w:type="dxa"/>
          </w:tcPr>
          <w:p w14:paraId="63B1E43D" w14:textId="06E38D7D" w:rsidR="009A6C87" w:rsidRPr="00A92233" w:rsidRDefault="009A6C87"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22:4n-9</w:t>
            </w:r>
          </w:p>
        </w:tc>
        <w:tc>
          <w:tcPr>
            <w:tcW w:w="1230" w:type="dxa"/>
          </w:tcPr>
          <w:p w14:paraId="5A555EFC" w14:textId="1761D135"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&lt;0.1</w:t>
            </w:r>
          </w:p>
        </w:tc>
        <w:tc>
          <w:tcPr>
            <w:tcW w:w="1808" w:type="dxa"/>
            <w:tcMar>
              <w:left w:w="28" w:type="dxa"/>
              <w:right w:w="28" w:type="dxa"/>
            </w:tcMar>
          </w:tcPr>
          <w:p w14:paraId="1829C69C" w14:textId="77777777"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0.6</w:t>
            </w:r>
          </w:p>
        </w:tc>
        <w:tc>
          <w:tcPr>
            <w:tcW w:w="1803" w:type="dxa"/>
            <w:tcMar>
              <w:left w:w="28" w:type="dxa"/>
              <w:right w:w="28" w:type="dxa"/>
            </w:tcMar>
          </w:tcPr>
          <w:p w14:paraId="15B51914" w14:textId="77777777"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2C0DDD41" w14:textId="77777777"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c>
          <w:tcPr>
            <w:tcW w:w="1436" w:type="dxa"/>
            <w:tcMar>
              <w:left w:w="28" w:type="dxa"/>
              <w:right w:w="28" w:type="dxa"/>
            </w:tcMar>
          </w:tcPr>
          <w:p w14:paraId="2AEDD464" w14:textId="2618B8D3" w:rsidR="009A6C87" w:rsidRPr="00A92233" w:rsidRDefault="00A92233"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w:t>
            </w:r>
          </w:p>
        </w:tc>
      </w:tr>
      <w:tr w:rsidR="00DC199C" w:rsidRPr="00DE5269" w14:paraId="0A4AE73C" w14:textId="77777777" w:rsidTr="00A92233">
        <w:trPr>
          <w:cantSplit/>
          <w:trHeight w:val="516"/>
        </w:trPr>
        <w:tc>
          <w:tcPr>
            <w:cnfStyle w:val="001000000000" w:firstRow="0" w:lastRow="0" w:firstColumn="1" w:lastColumn="0" w:oddVBand="0" w:evenVBand="0" w:oddHBand="0" w:evenHBand="0" w:firstRowFirstColumn="0" w:firstRowLastColumn="0" w:lastRowFirstColumn="0" w:lastRowLastColumn="0"/>
            <w:tcW w:w="2919" w:type="dxa"/>
          </w:tcPr>
          <w:p w14:paraId="0992D38F" w14:textId="3587FA30" w:rsidR="009A6C87" w:rsidRPr="00A92233" w:rsidRDefault="009A6C87" w:rsidP="002C1759">
            <w:pPr>
              <w:pStyle w:val="FSTableText"/>
              <w:keepNext/>
              <w:keepLines/>
              <w:widowControl/>
              <w:rPr>
                <w:color w:val="auto"/>
                <w:lang w:val="en-GB" w:eastAsia="en-AU" w:bidi="ar-SA"/>
              </w:rPr>
            </w:pPr>
            <w:r w:rsidRPr="00A92233">
              <w:rPr>
                <w:lang w:val="en-GB" w:eastAsia="en-AU" w:bidi="ar-SA"/>
              </w:rPr>
              <w:t>Docosapentaenoic acid (DPA)</w:t>
            </w:r>
          </w:p>
        </w:tc>
        <w:tc>
          <w:tcPr>
            <w:tcW w:w="1235" w:type="dxa"/>
          </w:tcPr>
          <w:p w14:paraId="3F9D4A6F" w14:textId="758CD315" w:rsidR="009A6C87" w:rsidRPr="00A92233" w:rsidRDefault="009A6C87" w:rsidP="002C1759">
            <w:pPr>
              <w:pStyle w:val="FSTableText"/>
              <w:keepNext/>
              <w:keepLines/>
              <w:widowControl/>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22:5n-6</w:t>
            </w:r>
          </w:p>
        </w:tc>
        <w:tc>
          <w:tcPr>
            <w:tcW w:w="1230" w:type="dxa"/>
          </w:tcPr>
          <w:p w14:paraId="60CACD38" w14:textId="1EA39EC5"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2.53</w:t>
            </w:r>
          </w:p>
        </w:tc>
        <w:tc>
          <w:tcPr>
            <w:tcW w:w="1808" w:type="dxa"/>
            <w:tcMar>
              <w:left w:w="28" w:type="dxa"/>
              <w:right w:w="28" w:type="dxa"/>
            </w:tcMar>
          </w:tcPr>
          <w:p w14:paraId="5F2FD27E" w14:textId="77777777"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13.6</w:t>
            </w:r>
          </w:p>
        </w:tc>
        <w:tc>
          <w:tcPr>
            <w:tcW w:w="1803" w:type="dxa"/>
            <w:tcMar>
              <w:left w:w="28" w:type="dxa"/>
              <w:right w:w="28" w:type="dxa"/>
            </w:tcMar>
          </w:tcPr>
          <w:p w14:paraId="48AB1892" w14:textId="77777777"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w:t>
            </w:r>
          </w:p>
        </w:tc>
        <w:tc>
          <w:tcPr>
            <w:tcW w:w="1193" w:type="dxa"/>
          </w:tcPr>
          <w:p w14:paraId="63FA847B" w14:textId="77777777"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11.2</w:t>
            </w:r>
          </w:p>
        </w:tc>
        <w:tc>
          <w:tcPr>
            <w:tcW w:w="1436" w:type="dxa"/>
            <w:tcMar>
              <w:left w:w="28" w:type="dxa"/>
              <w:right w:w="28" w:type="dxa"/>
            </w:tcMar>
          </w:tcPr>
          <w:p w14:paraId="1CB942F8" w14:textId="3ABABF67" w:rsidR="009A6C87" w:rsidRPr="00A92233" w:rsidRDefault="009A6C87" w:rsidP="002C1759">
            <w:pPr>
              <w:pStyle w:val="FS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GB" w:eastAsia="en-AU" w:bidi="ar-SA"/>
              </w:rPr>
            </w:pPr>
            <w:r w:rsidRPr="00A92233">
              <w:rPr>
                <w:lang w:val="en-GB" w:eastAsia="en-AU" w:bidi="ar-SA"/>
              </w:rPr>
              <w:t>0.19/0.06</w:t>
            </w:r>
            <w:r w:rsidR="00C06F0F" w:rsidRPr="00A92233">
              <w:rPr>
                <w:vertAlign w:val="superscript"/>
                <w:lang w:val="en-GB" w:eastAsia="en-AU" w:bidi="ar-SA"/>
              </w:rPr>
              <w:t>8</w:t>
            </w:r>
          </w:p>
        </w:tc>
      </w:tr>
      <w:tr w:rsidR="00DC199C" w:rsidRPr="00DE5269" w14:paraId="0FAC12B3" w14:textId="77777777" w:rsidTr="00A92233">
        <w:trPr>
          <w:cnfStyle w:val="000000100000" w:firstRow="0" w:lastRow="0" w:firstColumn="0" w:lastColumn="0" w:oddVBand="0" w:evenVBand="0" w:oddHBand="1" w:evenHBand="0" w:firstRowFirstColumn="0" w:firstRowLastColumn="0" w:lastRowFirstColumn="0" w:lastRowLastColumn="0"/>
          <w:cantSplit/>
          <w:trHeight w:val="516"/>
        </w:trPr>
        <w:tc>
          <w:tcPr>
            <w:cnfStyle w:val="001000000000" w:firstRow="0" w:lastRow="0" w:firstColumn="1" w:lastColumn="0" w:oddVBand="0" w:evenVBand="0" w:oddHBand="0" w:evenHBand="0" w:firstRowFirstColumn="0" w:firstRowLastColumn="0" w:lastRowFirstColumn="0" w:lastRowLastColumn="0"/>
            <w:tcW w:w="2919" w:type="dxa"/>
          </w:tcPr>
          <w:p w14:paraId="769592AE" w14:textId="02F1DE9F" w:rsidR="009A6C87" w:rsidRPr="00A92233" w:rsidRDefault="009A6C87" w:rsidP="002C1759">
            <w:pPr>
              <w:pStyle w:val="FSTableText"/>
              <w:keepNext/>
              <w:keepLines/>
              <w:widowControl/>
              <w:rPr>
                <w:color w:val="auto"/>
                <w:lang w:val="en-GB" w:eastAsia="en-AU" w:bidi="ar-SA"/>
              </w:rPr>
            </w:pPr>
            <w:r w:rsidRPr="00A92233">
              <w:rPr>
                <w:lang w:val="en-GB" w:eastAsia="en-AU" w:bidi="ar-SA"/>
              </w:rPr>
              <w:t>Docohexanoic acid (DHA)</w:t>
            </w:r>
          </w:p>
        </w:tc>
        <w:tc>
          <w:tcPr>
            <w:tcW w:w="1235" w:type="dxa"/>
          </w:tcPr>
          <w:p w14:paraId="019998A3" w14:textId="37C45B5D" w:rsidR="009A6C87" w:rsidRPr="00A92233" w:rsidRDefault="009A6C87" w:rsidP="002C1759">
            <w:pPr>
              <w:pStyle w:val="FSTableText"/>
              <w:keepNext/>
              <w:keepLines/>
              <w:widowControl/>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22:6n-3</w:t>
            </w:r>
          </w:p>
        </w:tc>
        <w:tc>
          <w:tcPr>
            <w:tcW w:w="1230" w:type="dxa"/>
          </w:tcPr>
          <w:p w14:paraId="63290BA7" w14:textId="252C83AD"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43.38</w:t>
            </w:r>
          </w:p>
        </w:tc>
        <w:tc>
          <w:tcPr>
            <w:tcW w:w="1808" w:type="dxa"/>
            <w:tcMar>
              <w:left w:w="28" w:type="dxa"/>
              <w:right w:w="28" w:type="dxa"/>
            </w:tcMar>
          </w:tcPr>
          <w:p w14:paraId="38B0FBFB" w14:textId="63C8B09E"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35.0</w:t>
            </w:r>
          </w:p>
        </w:tc>
        <w:tc>
          <w:tcPr>
            <w:tcW w:w="1803" w:type="dxa"/>
            <w:tcMar>
              <w:left w:w="28" w:type="dxa"/>
              <w:right w:w="28" w:type="dxa"/>
            </w:tcMar>
          </w:tcPr>
          <w:p w14:paraId="78BF9EC0" w14:textId="5423282A"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40.0</w:t>
            </w:r>
          </w:p>
        </w:tc>
        <w:tc>
          <w:tcPr>
            <w:tcW w:w="1193" w:type="dxa"/>
          </w:tcPr>
          <w:p w14:paraId="55AC3644" w14:textId="11786E10"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45.6</w:t>
            </w:r>
          </w:p>
        </w:tc>
        <w:tc>
          <w:tcPr>
            <w:tcW w:w="1436" w:type="dxa"/>
            <w:tcMar>
              <w:left w:w="28" w:type="dxa"/>
              <w:right w:w="28" w:type="dxa"/>
            </w:tcMar>
          </w:tcPr>
          <w:p w14:paraId="4AAAA5EB" w14:textId="639FF670" w:rsidR="009A6C87" w:rsidRPr="00A92233" w:rsidRDefault="009A6C87" w:rsidP="002C1759">
            <w:pPr>
              <w:pStyle w:val="FSTableText"/>
              <w:keepNext/>
              <w:keepLines/>
              <w:widowControl/>
              <w:jc w:val="center"/>
              <w:cnfStyle w:val="000000100000" w:firstRow="0" w:lastRow="0" w:firstColumn="0" w:lastColumn="0" w:oddVBand="0" w:evenVBand="0" w:oddHBand="1" w:evenHBand="0" w:firstRowFirstColumn="0" w:firstRowLastColumn="0" w:lastRowFirstColumn="0" w:lastRowLastColumn="0"/>
              <w:rPr>
                <w:color w:val="auto"/>
                <w:lang w:val="en-GB" w:eastAsia="en-AU" w:bidi="ar-SA"/>
              </w:rPr>
            </w:pPr>
            <w:r w:rsidRPr="00A92233">
              <w:rPr>
                <w:lang w:val="en-GB" w:eastAsia="en-AU" w:bidi="ar-SA"/>
              </w:rPr>
              <w:t>0.32</w:t>
            </w:r>
            <w:r w:rsidR="00C06F0F" w:rsidRPr="00A92233">
              <w:rPr>
                <w:vertAlign w:val="superscript"/>
                <w:lang w:val="en-GB" w:eastAsia="en-AU" w:bidi="ar-SA"/>
              </w:rPr>
              <w:t>9</w:t>
            </w:r>
          </w:p>
        </w:tc>
      </w:tr>
    </w:tbl>
    <w:p w14:paraId="2FB64795" w14:textId="7018B948" w:rsidR="006151F0" w:rsidRPr="00A92233" w:rsidRDefault="00551778" w:rsidP="00297A02">
      <w:pPr>
        <w:keepNext/>
        <w:keepLines/>
        <w:widowControl/>
        <w:rPr>
          <w:sz w:val="18"/>
          <w:szCs w:val="18"/>
          <w:lang w:val="en-GB" w:bidi="ar-SA"/>
        </w:rPr>
      </w:pPr>
      <w:r w:rsidRPr="00A92233">
        <w:rPr>
          <w:sz w:val="18"/>
          <w:szCs w:val="18"/>
          <w:lang w:val="en-GB" w:bidi="ar-SA"/>
        </w:rPr>
        <w:t xml:space="preserve">Notes to table: </w:t>
      </w:r>
    </w:p>
    <w:p w14:paraId="5EE92875" w14:textId="1329C323" w:rsidR="00551778" w:rsidRPr="00A92233" w:rsidRDefault="00C06F0F" w:rsidP="00297A02">
      <w:pPr>
        <w:pStyle w:val="FSCtblAdd1"/>
        <w:keepNext/>
        <w:rPr>
          <w:szCs w:val="18"/>
          <w:lang w:val="en-GB"/>
        </w:rPr>
      </w:pPr>
      <w:r w:rsidRPr="00A92233">
        <w:rPr>
          <w:szCs w:val="18"/>
          <w:lang w:val="en-GB"/>
        </w:rPr>
        <w:t xml:space="preserve">1 Oil </w:t>
      </w:r>
      <w:r w:rsidR="00551778" w:rsidRPr="00A92233">
        <w:rPr>
          <w:szCs w:val="18"/>
          <w:lang w:val="en-GB"/>
        </w:rPr>
        <w:t xml:space="preserve">derived from </w:t>
      </w:r>
      <w:r w:rsidR="00781A0C" w:rsidRPr="00A92233">
        <w:rPr>
          <w:i/>
          <w:szCs w:val="18"/>
          <w:lang w:val="en-GB"/>
        </w:rPr>
        <w:t>Schizochytrium</w:t>
      </w:r>
      <w:r w:rsidR="00781A0C" w:rsidRPr="00A92233">
        <w:rPr>
          <w:szCs w:val="18"/>
          <w:lang w:val="en-GB"/>
        </w:rPr>
        <w:t xml:space="preserve"> sp</w:t>
      </w:r>
      <w:r w:rsidR="00097E1E" w:rsidRPr="00A92233">
        <w:rPr>
          <w:szCs w:val="18"/>
          <w:lang w:val="en-GB"/>
        </w:rPr>
        <w:t xml:space="preserve"> </w:t>
      </w:r>
      <w:r w:rsidR="00781A0C" w:rsidRPr="00A92233">
        <w:rPr>
          <w:szCs w:val="18"/>
          <w:lang w:val="en-GB"/>
        </w:rPr>
        <w:t xml:space="preserve">(ATCC PTA-9695) </w:t>
      </w:r>
      <w:r w:rsidR="00097E1E" w:rsidRPr="00A92233">
        <w:rPr>
          <w:szCs w:val="18"/>
          <w:lang w:val="en-GB"/>
        </w:rPr>
        <w:t xml:space="preserve">oil composition data from </w:t>
      </w:r>
      <w:r w:rsidR="00551778" w:rsidRPr="00A92233">
        <w:rPr>
          <w:szCs w:val="18"/>
          <w:lang w:val="en-GB"/>
        </w:rPr>
        <w:t xml:space="preserve">DSM Nutritional products </w:t>
      </w:r>
    </w:p>
    <w:p w14:paraId="0675F406" w14:textId="5B29048C" w:rsidR="00781A0C" w:rsidRPr="00A92233" w:rsidRDefault="00C06F0F" w:rsidP="00297A02">
      <w:pPr>
        <w:pStyle w:val="FSCtblAdd1"/>
        <w:keepNext/>
        <w:rPr>
          <w:szCs w:val="18"/>
          <w:lang w:val="en-GB"/>
        </w:rPr>
      </w:pPr>
      <w:r w:rsidRPr="00A92233">
        <w:rPr>
          <w:szCs w:val="18"/>
          <w:lang w:val="en-GB"/>
        </w:rPr>
        <w:t>2</w:t>
      </w:r>
      <w:r w:rsidR="00551778" w:rsidRPr="00A92233">
        <w:rPr>
          <w:szCs w:val="18"/>
          <w:lang w:val="en-GB"/>
        </w:rPr>
        <w:t xml:space="preserve"> Oil derived from </w:t>
      </w:r>
      <w:r w:rsidR="00551778" w:rsidRPr="00A92233">
        <w:rPr>
          <w:i/>
          <w:szCs w:val="18"/>
          <w:lang w:val="en-GB"/>
        </w:rPr>
        <w:t>Schizochytrium</w:t>
      </w:r>
      <w:r w:rsidR="00551778" w:rsidRPr="00A92233">
        <w:rPr>
          <w:szCs w:val="18"/>
          <w:lang w:val="en-GB"/>
        </w:rPr>
        <w:t xml:space="preserve"> sp.; </w:t>
      </w:r>
      <w:r w:rsidR="00781A0C" w:rsidRPr="00A92233">
        <w:rPr>
          <w:szCs w:val="18"/>
          <w:lang w:val="en-GB"/>
        </w:rPr>
        <w:t>oil composition data from Application A428</w:t>
      </w:r>
      <w:r w:rsidR="006B3DB4" w:rsidRPr="00A92233">
        <w:rPr>
          <w:szCs w:val="18"/>
          <w:lang w:val="en-GB"/>
        </w:rPr>
        <w:t xml:space="preserve"> </w:t>
      </w:r>
      <w:r w:rsidR="005939F4" w:rsidRPr="00A92233">
        <w:rPr>
          <w:szCs w:val="18"/>
          <w:lang w:val="en-GB"/>
        </w:rPr>
        <w:t>(</w:t>
      </w:r>
      <w:r w:rsidR="002B7BC0" w:rsidRPr="00A92233">
        <w:rPr>
          <w:szCs w:val="18"/>
          <w:lang w:val="en-GB"/>
        </w:rPr>
        <w:t>ANZFA,</w:t>
      </w:r>
      <w:r w:rsidR="005939F4" w:rsidRPr="00A92233">
        <w:rPr>
          <w:szCs w:val="18"/>
          <w:lang w:val="en-GB"/>
        </w:rPr>
        <w:t xml:space="preserve"> 2001)</w:t>
      </w:r>
      <w:r w:rsidR="006B3DB4" w:rsidRPr="00A92233">
        <w:rPr>
          <w:szCs w:val="18"/>
          <w:lang w:val="en-GB"/>
        </w:rPr>
        <w:t xml:space="preserve"> </w:t>
      </w:r>
    </w:p>
    <w:p w14:paraId="1424CCDC" w14:textId="6F804A1B" w:rsidR="00491083" w:rsidRPr="00A92233" w:rsidRDefault="00C06F0F" w:rsidP="00297A02">
      <w:pPr>
        <w:pStyle w:val="FSCtblAdd1"/>
        <w:keepNext/>
        <w:rPr>
          <w:szCs w:val="18"/>
          <w:lang w:val="en-GB"/>
        </w:rPr>
      </w:pPr>
      <w:r w:rsidRPr="00A92233">
        <w:rPr>
          <w:szCs w:val="18"/>
          <w:lang w:val="en-GB"/>
        </w:rPr>
        <w:t>3</w:t>
      </w:r>
      <w:r w:rsidR="00491083" w:rsidRPr="00A92233">
        <w:rPr>
          <w:szCs w:val="18"/>
          <w:lang w:val="en-GB"/>
        </w:rPr>
        <w:t xml:space="preserve"> </w:t>
      </w:r>
      <w:r w:rsidR="00551778" w:rsidRPr="00A92233">
        <w:rPr>
          <w:szCs w:val="18"/>
          <w:lang w:val="en-GB"/>
        </w:rPr>
        <w:t xml:space="preserve">Oil derived from </w:t>
      </w:r>
      <w:r w:rsidR="00551778" w:rsidRPr="00A92233">
        <w:rPr>
          <w:i/>
          <w:szCs w:val="18"/>
          <w:lang w:val="en-GB"/>
        </w:rPr>
        <w:t>Cyrptothecodimium cohnii</w:t>
      </w:r>
      <w:r w:rsidR="00551778" w:rsidRPr="00A92233">
        <w:rPr>
          <w:szCs w:val="18"/>
          <w:lang w:val="en-GB"/>
        </w:rPr>
        <w:t xml:space="preserve">; oil composition data from Application A522 </w:t>
      </w:r>
      <w:r w:rsidR="002B7BC0" w:rsidRPr="00A92233">
        <w:rPr>
          <w:szCs w:val="18"/>
          <w:lang w:val="en-GB"/>
        </w:rPr>
        <w:t>(FSANZ, 2004)</w:t>
      </w:r>
    </w:p>
    <w:p w14:paraId="4EFDF0D9" w14:textId="2F34D887" w:rsidR="00C06F0F" w:rsidRPr="00A92233" w:rsidRDefault="00491083" w:rsidP="00297A02">
      <w:pPr>
        <w:pStyle w:val="FSCtblAdd1"/>
        <w:keepNext/>
        <w:rPr>
          <w:szCs w:val="18"/>
          <w:lang w:val="en-GB"/>
        </w:rPr>
      </w:pPr>
      <w:r w:rsidRPr="00A92233">
        <w:rPr>
          <w:szCs w:val="18"/>
          <w:lang w:val="en-GB"/>
        </w:rPr>
        <w:t xml:space="preserve">4 </w:t>
      </w:r>
      <w:r w:rsidR="00C06F0F" w:rsidRPr="00A92233">
        <w:rPr>
          <w:szCs w:val="18"/>
          <w:lang w:val="en-GB"/>
        </w:rPr>
        <w:t xml:space="preserve">Oil </w:t>
      </w:r>
      <w:r w:rsidR="00B97A75" w:rsidRPr="00A92233">
        <w:rPr>
          <w:szCs w:val="18"/>
          <w:lang w:val="en-GB"/>
        </w:rPr>
        <w:t xml:space="preserve">derived from </w:t>
      </w:r>
      <w:r w:rsidR="00B97A75" w:rsidRPr="00A92233">
        <w:rPr>
          <w:i/>
          <w:szCs w:val="18"/>
          <w:lang w:val="en-GB" w:eastAsia="en-AU"/>
        </w:rPr>
        <w:t>Ulkenia</w:t>
      </w:r>
      <w:r w:rsidR="00B97A75" w:rsidRPr="00A92233">
        <w:rPr>
          <w:szCs w:val="18"/>
          <w:lang w:val="en-GB" w:eastAsia="en-AU"/>
        </w:rPr>
        <w:t xml:space="preserve"> sp</w:t>
      </w:r>
      <w:r w:rsidRPr="00A92233">
        <w:rPr>
          <w:szCs w:val="18"/>
          <w:lang w:val="en-GB" w:eastAsia="en-AU"/>
        </w:rPr>
        <w:t xml:space="preserve"> oil </w:t>
      </w:r>
      <w:r w:rsidR="00C06F0F" w:rsidRPr="00A92233">
        <w:rPr>
          <w:szCs w:val="18"/>
          <w:lang w:val="en-GB"/>
        </w:rPr>
        <w:t>composition information from Application A522</w:t>
      </w:r>
    </w:p>
    <w:p w14:paraId="1FED4051" w14:textId="3CE203BC" w:rsidR="00551778" w:rsidRPr="00A92233" w:rsidRDefault="00491083" w:rsidP="00297A02">
      <w:pPr>
        <w:pStyle w:val="FSCtblAdd1"/>
        <w:keepNext/>
        <w:rPr>
          <w:szCs w:val="18"/>
          <w:lang w:val="en-GB"/>
        </w:rPr>
      </w:pPr>
      <w:r w:rsidRPr="00A92233">
        <w:rPr>
          <w:szCs w:val="18"/>
          <w:lang w:val="en-GB"/>
        </w:rPr>
        <w:t>5</w:t>
      </w:r>
      <w:r w:rsidR="00781A0C" w:rsidRPr="00A92233">
        <w:rPr>
          <w:szCs w:val="18"/>
          <w:lang w:val="en-GB"/>
        </w:rPr>
        <w:t xml:space="preserve"> </w:t>
      </w:r>
      <w:r w:rsidR="00551778" w:rsidRPr="00A92233">
        <w:rPr>
          <w:szCs w:val="18"/>
          <w:lang w:val="en-GB"/>
        </w:rPr>
        <w:t xml:space="preserve">Brenna et al. </w:t>
      </w:r>
      <w:r w:rsidR="00551778" w:rsidRPr="00A92233">
        <w:rPr>
          <w:i/>
          <w:szCs w:val="18"/>
          <w:lang w:val="en-GB"/>
        </w:rPr>
        <w:t>Am J Clin Nutr</w:t>
      </w:r>
      <w:r w:rsidR="00551778" w:rsidRPr="00A92233">
        <w:rPr>
          <w:szCs w:val="18"/>
          <w:lang w:val="en-GB"/>
        </w:rPr>
        <w:t xml:space="preserve"> 2007;85:1457-64 </w:t>
      </w:r>
    </w:p>
    <w:p w14:paraId="2EB611EA" w14:textId="1B1C2391" w:rsidR="00781A0C" w:rsidRPr="00A92233" w:rsidRDefault="00491083" w:rsidP="00297A02">
      <w:pPr>
        <w:pStyle w:val="FSCtblAdd1"/>
        <w:keepNext/>
        <w:rPr>
          <w:szCs w:val="18"/>
          <w:lang w:val="en-GB"/>
        </w:rPr>
      </w:pPr>
      <w:r w:rsidRPr="00A92233">
        <w:rPr>
          <w:szCs w:val="18"/>
          <w:lang w:val="en-GB"/>
        </w:rPr>
        <w:t xml:space="preserve">6 </w:t>
      </w:r>
      <w:r w:rsidR="00781A0C" w:rsidRPr="00A92233">
        <w:rPr>
          <w:szCs w:val="18"/>
          <w:lang w:val="en-GB"/>
        </w:rPr>
        <w:t>Yuhas et al. Lipids 2006; 41:851-858 (excluding Japan)</w:t>
      </w:r>
    </w:p>
    <w:p w14:paraId="19DA0544" w14:textId="41C79F6A" w:rsidR="00781A0C" w:rsidRPr="00A92233" w:rsidRDefault="00491083" w:rsidP="00297A02">
      <w:pPr>
        <w:pStyle w:val="FSCtblAdd1"/>
        <w:keepNext/>
        <w:rPr>
          <w:szCs w:val="18"/>
          <w:lang w:val="en-GB"/>
        </w:rPr>
      </w:pPr>
      <w:r w:rsidRPr="00A92233">
        <w:rPr>
          <w:rStyle w:val="FootnoteReference"/>
          <w:szCs w:val="18"/>
          <w:vertAlign w:val="baseline"/>
          <w:lang w:val="en-GB"/>
        </w:rPr>
        <w:t>7</w:t>
      </w:r>
      <w:r w:rsidRPr="00A92233">
        <w:rPr>
          <w:szCs w:val="18"/>
          <w:lang w:val="en-GB"/>
        </w:rPr>
        <w:t xml:space="preserve"> </w:t>
      </w:r>
      <w:r w:rsidR="00781A0C" w:rsidRPr="00A92233">
        <w:rPr>
          <w:szCs w:val="18"/>
          <w:lang w:val="en-GB"/>
        </w:rPr>
        <w:t>DPA</w:t>
      </w:r>
      <w:r w:rsidR="006B3DB4" w:rsidRPr="00A92233">
        <w:rPr>
          <w:szCs w:val="18"/>
          <w:lang w:val="en-GB"/>
        </w:rPr>
        <w:t xml:space="preserve"> </w:t>
      </w:r>
      <w:r w:rsidR="00781A0C" w:rsidRPr="00A92233">
        <w:rPr>
          <w:szCs w:val="18"/>
          <w:lang w:val="en-GB"/>
        </w:rPr>
        <w:t>n-3/n-6 mean (% total fatty acids) Yuhas et al. Lipids 2006; 41:851-858.</w:t>
      </w:r>
    </w:p>
    <w:p w14:paraId="665B6E95" w14:textId="3035D51E" w:rsidR="00491083" w:rsidRDefault="00491083" w:rsidP="00297A02">
      <w:pPr>
        <w:pStyle w:val="FSCtblAdd1"/>
        <w:keepNext/>
        <w:rPr>
          <w:szCs w:val="18"/>
          <w:lang w:val="en-GB"/>
        </w:rPr>
      </w:pPr>
      <w:r w:rsidRPr="00A92233">
        <w:rPr>
          <w:szCs w:val="18"/>
          <w:lang w:val="en-GB"/>
        </w:rPr>
        <w:t xml:space="preserve">9 Brenna et al </w:t>
      </w:r>
      <w:r w:rsidRPr="00A92233">
        <w:rPr>
          <w:i/>
          <w:szCs w:val="18"/>
          <w:lang w:val="en-GB"/>
        </w:rPr>
        <w:t>Am J Clin Nutr</w:t>
      </w:r>
      <w:r w:rsidRPr="00A92233">
        <w:rPr>
          <w:szCs w:val="18"/>
          <w:lang w:val="en-GB"/>
        </w:rPr>
        <w:t xml:space="preserve"> 2007;85:1457-64 </w:t>
      </w:r>
    </w:p>
    <w:p w14:paraId="08B8F034" w14:textId="77777777" w:rsidR="00A92233" w:rsidRDefault="00A92233" w:rsidP="00297A02">
      <w:pPr>
        <w:pStyle w:val="FSCtblAdd1"/>
        <w:keepNext/>
        <w:rPr>
          <w:szCs w:val="18"/>
          <w:lang w:val="en-GB"/>
        </w:rPr>
        <w:sectPr w:rsidR="00A92233" w:rsidSect="00254D00">
          <w:pgSz w:w="16838" w:h="11906" w:orient="landscape"/>
          <w:pgMar w:top="1418" w:right="1418" w:bottom="1418" w:left="1418" w:header="709" w:footer="709" w:gutter="0"/>
          <w:cols w:space="708"/>
          <w:docGrid w:linePitch="360"/>
        </w:sectPr>
      </w:pPr>
    </w:p>
    <w:p w14:paraId="681EE3FB" w14:textId="26F00180" w:rsidR="00413628" w:rsidRPr="00A76FA6" w:rsidRDefault="00CB73A8" w:rsidP="00FE4B99">
      <w:pPr>
        <w:pStyle w:val="Heading2"/>
      </w:pPr>
      <w:bookmarkStart w:id="75" w:name="_Toc464129793"/>
      <w:r w:rsidRPr="00FE490D">
        <w:lastRenderedPageBreak/>
        <w:t>4.</w:t>
      </w:r>
      <w:r w:rsidR="00255D57" w:rsidRPr="00A76FA6">
        <w:t>5</w:t>
      </w:r>
      <w:r w:rsidRPr="00A76FA6">
        <w:tab/>
      </w:r>
      <w:r w:rsidR="00413628" w:rsidRPr="00A76FA6">
        <w:t xml:space="preserve">Nutritional safety, tolerance and efficacy of </w:t>
      </w:r>
      <w:r w:rsidR="00FD7080" w:rsidRPr="00A76FA6">
        <w:t>DHA-B</w:t>
      </w:r>
      <w:bookmarkEnd w:id="75"/>
    </w:p>
    <w:p w14:paraId="6494BEEE" w14:textId="4AC35516" w:rsidR="000C3BED" w:rsidRPr="00A92233" w:rsidRDefault="00187707" w:rsidP="0029539A">
      <w:pPr>
        <w:keepNext/>
        <w:keepLines/>
        <w:rPr>
          <w:lang w:val="en-GB" w:bidi="ar-SA"/>
        </w:rPr>
      </w:pPr>
      <w:r>
        <w:rPr>
          <w:lang w:val="en-GB" w:bidi="ar-SA"/>
        </w:rPr>
        <w:t>T</w:t>
      </w:r>
      <w:r w:rsidR="000C3BED" w:rsidRPr="00A92233">
        <w:rPr>
          <w:lang w:val="en-GB" w:bidi="ar-SA"/>
        </w:rPr>
        <w:t xml:space="preserve">riglycerides represent the main source of dietary fat in the human diet and in this respect </w:t>
      </w:r>
      <w:r w:rsidR="00FD7080" w:rsidRPr="00A92233">
        <w:rPr>
          <w:lang w:val="en-GB" w:bidi="ar-SA"/>
        </w:rPr>
        <w:t>DHA-B</w:t>
      </w:r>
      <w:r w:rsidR="000C3BED" w:rsidRPr="00A92233">
        <w:rPr>
          <w:lang w:val="en-GB" w:bidi="ar-SA"/>
        </w:rPr>
        <w:t xml:space="preserve"> is no different to other types of dietary fat. The general physiological processes for digestion, absorption, distribution, metabolism and excretion of lipids and fatty acids are well described in the general literature and summarised in the dossier provided by the </w:t>
      </w:r>
      <w:r w:rsidR="00200B76">
        <w:rPr>
          <w:lang w:val="en-GB" w:bidi="ar-SA"/>
        </w:rPr>
        <w:t>Applicant</w:t>
      </w:r>
      <w:r w:rsidR="000C3BED" w:rsidRPr="00A92233">
        <w:rPr>
          <w:lang w:val="en-GB" w:bidi="ar-SA"/>
        </w:rPr>
        <w:t>.</w:t>
      </w:r>
    </w:p>
    <w:p w14:paraId="396DA81F" w14:textId="77777777" w:rsidR="000C3BED" w:rsidRPr="00A92233" w:rsidRDefault="000C3BED" w:rsidP="000C3BED">
      <w:pPr>
        <w:rPr>
          <w:lang w:val="en-GB" w:bidi="ar-SA"/>
        </w:rPr>
      </w:pPr>
    </w:p>
    <w:p w14:paraId="3ED78A2C" w14:textId="1C545BEF" w:rsidR="000C3BED" w:rsidRPr="00A92233" w:rsidRDefault="000C3BED" w:rsidP="000C3BED">
      <w:pPr>
        <w:rPr>
          <w:lang w:val="en-GB" w:bidi="ar-SA"/>
        </w:rPr>
      </w:pPr>
      <w:r w:rsidRPr="00A92233">
        <w:rPr>
          <w:lang w:val="en-GB" w:bidi="ar-SA"/>
        </w:rPr>
        <w:t>The intestinal absorption of LC</w:t>
      </w:r>
      <w:r w:rsidR="00085EB2" w:rsidRPr="00A92233">
        <w:rPr>
          <w:lang w:val="en-GB" w:bidi="ar-SA"/>
        </w:rPr>
        <w:t>-</w:t>
      </w:r>
      <w:r w:rsidRPr="00A92233">
        <w:rPr>
          <w:lang w:val="en-GB" w:bidi="ar-SA"/>
        </w:rPr>
        <w:t xml:space="preserve">PUFA from </w:t>
      </w:r>
      <w:r w:rsidR="00085EB2" w:rsidRPr="00A92233">
        <w:rPr>
          <w:lang w:val="en-GB" w:bidi="ar-SA"/>
        </w:rPr>
        <w:t xml:space="preserve">similar </w:t>
      </w:r>
      <w:r w:rsidR="0058205E" w:rsidRPr="00A92233">
        <w:rPr>
          <w:lang w:val="en-GB" w:bidi="ar-SA"/>
        </w:rPr>
        <w:t xml:space="preserve">marine algal </w:t>
      </w:r>
      <w:r w:rsidR="00085EB2" w:rsidRPr="00A92233">
        <w:rPr>
          <w:lang w:val="en-GB" w:bidi="ar-SA"/>
        </w:rPr>
        <w:t xml:space="preserve">oils </w:t>
      </w:r>
      <w:r w:rsidR="00FF1419" w:rsidRPr="00A92233">
        <w:rPr>
          <w:lang w:val="en-GB" w:bidi="ar-SA"/>
        </w:rPr>
        <w:t>has been assessed by FSANZ previously (FSANZ 2002),</w:t>
      </w:r>
      <w:r w:rsidRPr="00A92233">
        <w:rPr>
          <w:lang w:val="en-GB" w:bidi="ar-SA"/>
        </w:rPr>
        <w:t xml:space="preserve"> and it was concluded that intestinal absorption </w:t>
      </w:r>
      <w:r w:rsidR="009C46A9" w:rsidRPr="00A92233">
        <w:rPr>
          <w:lang w:val="en-GB"/>
        </w:rPr>
        <w:t xml:space="preserve">of LC-PUFAs </w:t>
      </w:r>
      <w:r w:rsidR="00FF1419" w:rsidRPr="00A92233">
        <w:rPr>
          <w:lang w:val="en-GB" w:bidi="ar-SA"/>
        </w:rPr>
        <w:t xml:space="preserve">from the </w:t>
      </w:r>
      <w:r w:rsidRPr="00A92233">
        <w:rPr>
          <w:lang w:val="en-GB" w:bidi="ar-SA"/>
        </w:rPr>
        <w:t xml:space="preserve">supplemented infant formula is similar to that from </w:t>
      </w:r>
      <w:r w:rsidR="00AD603F">
        <w:rPr>
          <w:lang w:val="en-GB" w:bidi="ar-SA"/>
        </w:rPr>
        <w:t>breast milk</w:t>
      </w:r>
      <w:r w:rsidRPr="00A92233">
        <w:rPr>
          <w:lang w:val="en-GB" w:bidi="ar-SA"/>
        </w:rPr>
        <w:t xml:space="preserve">. There is no evidence to suggest, or reason to believe, that absorption, distribution, metabolism and excretion of </w:t>
      </w:r>
      <w:r w:rsidR="00FD7080" w:rsidRPr="00A92233">
        <w:rPr>
          <w:lang w:val="en-GB" w:bidi="ar-SA"/>
        </w:rPr>
        <w:t>DHA-B</w:t>
      </w:r>
      <w:r w:rsidRPr="00A92233">
        <w:rPr>
          <w:lang w:val="en-GB" w:bidi="ar-SA"/>
        </w:rPr>
        <w:t xml:space="preserve"> would be different.</w:t>
      </w:r>
    </w:p>
    <w:p w14:paraId="6DDC9CD0" w14:textId="049D6FB0" w:rsidR="000C3BED" w:rsidRPr="00A92233" w:rsidRDefault="00CB73A8" w:rsidP="00FE490D">
      <w:pPr>
        <w:pStyle w:val="Heading3"/>
        <w:rPr>
          <w:lang w:val="en-GB"/>
        </w:rPr>
      </w:pPr>
      <w:bookmarkStart w:id="76" w:name="_Toc464129794"/>
      <w:r w:rsidRPr="00A92233">
        <w:rPr>
          <w:lang w:val="en-GB"/>
        </w:rPr>
        <w:t>4.</w:t>
      </w:r>
      <w:r w:rsidR="00255D57" w:rsidRPr="00A92233">
        <w:rPr>
          <w:lang w:val="en-GB"/>
        </w:rPr>
        <w:t>5</w:t>
      </w:r>
      <w:r w:rsidRPr="00A92233">
        <w:rPr>
          <w:lang w:val="en-GB"/>
        </w:rPr>
        <w:t>.1</w:t>
      </w:r>
      <w:r w:rsidRPr="00A92233">
        <w:rPr>
          <w:lang w:val="en-GB"/>
        </w:rPr>
        <w:tab/>
      </w:r>
      <w:r w:rsidR="000C3BED" w:rsidRPr="00A92233">
        <w:rPr>
          <w:lang w:val="en-GB"/>
        </w:rPr>
        <w:t xml:space="preserve">Specific studies with </w:t>
      </w:r>
      <w:r w:rsidR="00FD7080" w:rsidRPr="00A92233">
        <w:rPr>
          <w:lang w:val="en-GB"/>
        </w:rPr>
        <w:t>DHA-B</w:t>
      </w:r>
      <w:r w:rsidR="000C3BED" w:rsidRPr="00A92233">
        <w:rPr>
          <w:lang w:val="en-GB"/>
        </w:rPr>
        <w:t xml:space="preserve"> in animals and humans</w:t>
      </w:r>
      <w:bookmarkEnd w:id="76"/>
    </w:p>
    <w:p w14:paraId="15AD4ECC" w14:textId="26D2704E" w:rsidR="000C3BED" w:rsidRPr="00A92233" w:rsidRDefault="00CB73A8" w:rsidP="00A92233">
      <w:pPr>
        <w:pStyle w:val="Heading4"/>
        <w:rPr>
          <w:lang w:val="en-GB"/>
        </w:rPr>
      </w:pPr>
      <w:r w:rsidRPr="00A92233">
        <w:rPr>
          <w:lang w:val="en-GB"/>
        </w:rPr>
        <w:t>4.</w:t>
      </w:r>
      <w:r w:rsidR="00255D57" w:rsidRPr="00A92233">
        <w:rPr>
          <w:lang w:val="en-GB"/>
        </w:rPr>
        <w:t>5</w:t>
      </w:r>
      <w:r w:rsidRPr="00A92233">
        <w:rPr>
          <w:lang w:val="en-GB"/>
        </w:rPr>
        <w:t>.1.1</w:t>
      </w:r>
      <w:r w:rsidRPr="00A92233">
        <w:rPr>
          <w:lang w:val="en-GB"/>
        </w:rPr>
        <w:tab/>
      </w:r>
      <w:r w:rsidR="00917B43" w:rsidRPr="00A92233">
        <w:rPr>
          <w:lang w:val="en-GB"/>
        </w:rPr>
        <w:t>Bioequivalence in animals</w:t>
      </w:r>
    </w:p>
    <w:p w14:paraId="34B4AB05" w14:textId="208D77FE" w:rsidR="000C3BED" w:rsidRPr="00A92233" w:rsidRDefault="000C3BED" w:rsidP="000C3BED">
      <w:pPr>
        <w:rPr>
          <w:lang w:val="en-GB" w:bidi="ar-SA"/>
        </w:rPr>
      </w:pPr>
      <w:r w:rsidRPr="00A92233">
        <w:rPr>
          <w:lang w:val="en-GB" w:bidi="ar-SA"/>
        </w:rPr>
        <w:t xml:space="preserve">Preclinical studies with animals have been used to evaluate the safety and suitability of the newly developed </w:t>
      </w:r>
      <w:r w:rsidR="00FD7080" w:rsidRPr="00A92233">
        <w:rPr>
          <w:lang w:val="en-GB" w:bidi="ar-SA"/>
        </w:rPr>
        <w:t>DHA-B</w:t>
      </w:r>
      <w:r w:rsidRPr="00A92233">
        <w:rPr>
          <w:lang w:val="en-GB" w:bidi="ar-SA"/>
        </w:rPr>
        <w:t xml:space="preserve"> compared with </w:t>
      </w:r>
      <w:r w:rsidR="00FF1419" w:rsidRPr="00A92233">
        <w:rPr>
          <w:lang w:val="en-GB" w:bidi="ar-SA"/>
        </w:rPr>
        <w:t xml:space="preserve">another </w:t>
      </w:r>
      <w:r w:rsidRPr="00A92233">
        <w:rPr>
          <w:lang w:val="en-GB" w:bidi="ar-SA"/>
        </w:rPr>
        <w:t>DHA</w:t>
      </w:r>
      <w:r w:rsidR="00FF1419" w:rsidRPr="00A92233">
        <w:rPr>
          <w:lang w:val="en-GB" w:bidi="ar-SA"/>
        </w:rPr>
        <w:t>-</w:t>
      </w:r>
      <w:r w:rsidRPr="00A92233">
        <w:rPr>
          <w:lang w:val="en-GB" w:bidi="ar-SA"/>
        </w:rPr>
        <w:t>rich oil source DHASCO</w:t>
      </w:r>
      <w:r w:rsidRPr="00A92233">
        <w:rPr>
          <w:vertAlign w:val="superscript"/>
          <w:lang w:val="en-GB"/>
        </w:rPr>
        <w:t>®</w:t>
      </w:r>
      <w:r w:rsidRPr="00A92233">
        <w:rPr>
          <w:lang w:val="en-GB" w:bidi="ar-SA"/>
        </w:rPr>
        <w:t>.</w:t>
      </w:r>
    </w:p>
    <w:p w14:paraId="1211C087" w14:textId="77777777" w:rsidR="000C3BED" w:rsidRPr="00A92233" w:rsidRDefault="000C3BED" w:rsidP="000C3BED">
      <w:pPr>
        <w:rPr>
          <w:lang w:val="en-GB" w:bidi="ar-SA"/>
        </w:rPr>
      </w:pPr>
    </w:p>
    <w:p w14:paraId="5472ECC6" w14:textId="538B885D" w:rsidR="00917B43" w:rsidRPr="00A92233" w:rsidRDefault="00D61661" w:rsidP="000C3BED">
      <w:pPr>
        <w:rPr>
          <w:lang w:val="en-GB" w:bidi="ar-SA"/>
        </w:rPr>
      </w:pPr>
      <w:r w:rsidRPr="00A92233">
        <w:rPr>
          <w:lang w:val="en-GB" w:bidi="ar-SA"/>
        </w:rPr>
        <w:t xml:space="preserve">As discussed in section </w:t>
      </w:r>
      <w:r w:rsidRPr="00A92233">
        <w:rPr>
          <w:lang w:val="en-GB"/>
        </w:rPr>
        <w:t>3.5.2, t</w:t>
      </w:r>
      <w:r w:rsidR="000C3BED" w:rsidRPr="00A92233">
        <w:rPr>
          <w:lang w:val="en-GB" w:bidi="ar-SA"/>
        </w:rPr>
        <w:t xml:space="preserve">he neonatal pig model was used in a study by Fedorova-Dahms (2014) to evaluate the bioequivalence and safety of </w:t>
      </w:r>
      <w:r w:rsidR="00FD7080" w:rsidRPr="00A92233">
        <w:rPr>
          <w:lang w:val="en-GB" w:bidi="ar-SA"/>
        </w:rPr>
        <w:t>DHA-B</w:t>
      </w:r>
      <w:r w:rsidR="000C3BED" w:rsidRPr="00A92233">
        <w:rPr>
          <w:lang w:val="en-GB" w:bidi="ar-SA"/>
        </w:rPr>
        <w:t xml:space="preserve"> relative to DHASCO</w:t>
      </w:r>
      <w:r w:rsidR="000C3BED" w:rsidRPr="00A92233">
        <w:rPr>
          <w:vertAlign w:val="superscript"/>
          <w:lang w:val="en-GB"/>
        </w:rPr>
        <w:t>®</w:t>
      </w:r>
      <w:r w:rsidR="000C3BED" w:rsidRPr="00A92233">
        <w:rPr>
          <w:lang w:val="en-GB" w:bidi="ar-SA"/>
        </w:rPr>
        <w:t xml:space="preserve"> when administered in a blend with ARASCO (ARA </w:t>
      </w:r>
      <w:r w:rsidR="000C3BED" w:rsidRPr="00A92233">
        <w:rPr>
          <w:b/>
          <w:lang w:val="en-GB" w:bidi="ar-SA"/>
        </w:rPr>
        <w:t>S</w:t>
      </w:r>
      <w:r w:rsidR="000C3BED" w:rsidRPr="00A92233">
        <w:rPr>
          <w:lang w:val="en-GB" w:bidi="ar-SA"/>
        </w:rPr>
        <w:t xml:space="preserve">ingle </w:t>
      </w:r>
      <w:r w:rsidR="000C3BED" w:rsidRPr="00A92233">
        <w:rPr>
          <w:b/>
          <w:lang w:val="en-GB" w:bidi="ar-SA"/>
        </w:rPr>
        <w:t>c</w:t>
      </w:r>
      <w:r w:rsidR="000C3BED" w:rsidRPr="00A92233">
        <w:rPr>
          <w:lang w:val="en-GB" w:bidi="ar-SA"/>
        </w:rPr>
        <w:t xml:space="preserve">ell </w:t>
      </w:r>
      <w:r w:rsidR="000C3BED" w:rsidRPr="00A92233">
        <w:rPr>
          <w:b/>
          <w:lang w:val="en-GB" w:bidi="ar-SA"/>
        </w:rPr>
        <w:t>o</w:t>
      </w:r>
      <w:r w:rsidR="000C3BED" w:rsidRPr="00A92233">
        <w:rPr>
          <w:lang w:val="en-GB" w:bidi="ar-SA"/>
        </w:rPr>
        <w:t xml:space="preserve">il). </w:t>
      </w:r>
      <w:r w:rsidR="00FD7080" w:rsidRPr="00A92233">
        <w:rPr>
          <w:lang w:val="en-GB" w:bidi="ar-SA"/>
        </w:rPr>
        <w:t>DHA-B</w:t>
      </w:r>
      <w:r w:rsidR="000C3BED" w:rsidRPr="00A92233">
        <w:rPr>
          <w:lang w:val="en-GB" w:bidi="ar-SA"/>
        </w:rPr>
        <w:t xml:space="preserve"> and DHASCO were added to infant formula at 0.32 and 0.96 per cent DHA (</w:t>
      </w:r>
      <w:r w:rsidR="00A54180">
        <w:rPr>
          <w:lang w:val="en-GB" w:bidi="ar-SA"/>
        </w:rPr>
        <w:t>%</w:t>
      </w:r>
      <w:r w:rsidR="000C3BED" w:rsidRPr="00A92233">
        <w:rPr>
          <w:lang w:val="en-GB" w:bidi="ar-SA"/>
        </w:rPr>
        <w:t xml:space="preserve"> total fatty acids). Dietary administration was well tolerated by the pre-weaning piglets during the 3</w:t>
      </w:r>
      <w:r w:rsidR="002C1759">
        <w:rPr>
          <w:lang w:val="en-GB" w:bidi="ar-SA"/>
        </w:rPr>
        <w:t>-</w:t>
      </w:r>
      <w:r w:rsidR="000C3BED" w:rsidRPr="00A92233">
        <w:rPr>
          <w:lang w:val="en-GB" w:bidi="ar-SA"/>
        </w:rPr>
        <w:t xml:space="preserve">week experimental period right after birth. Based on food consumption and body weight data there were no differences in calculated compound consumption between the corresponding doses of </w:t>
      </w:r>
      <w:r w:rsidR="00FD7080" w:rsidRPr="00A92233">
        <w:rPr>
          <w:lang w:val="en-GB" w:bidi="ar-SA"/>
        </w:rPr>
        <w:t>DHA-B</w:t>
      </w:r>
      <w:r w:rsidR="000C3BED" w:rsidRPr="00A92233">
        <w:rPr>
          <w:lang w:val="en-GB" w:bidi="ar-SA"/>
        </w:rPr>
        <w:t xml:space="preserve"> and DHASCO. No test article</w:t>
      </w:r>
      <w:r w:rsidR="00C37AF8" w:rsidRPr="00A92233">
        <w:rPr>
          <w:lang w:val="en-GB" w:bidi="ar-SA"/>
        </w:rPr>
        <w:t>-</w:t>
      </w:r>
      <w:r w:rsidR="000C3BED" w:rsidRPr="00A92233">
        <w:rPr>
          <w:lang w:val="en-GB" w:bidi="ar-SA"/>
        </w:rPr>
        <w:t>related changes were noted in clinical observations and all piglets grew and developed as expected for their age without any differences in mean body weight between test diets or the control diet (Federova-Dahms et al. 2014).</w:t>
      </w:r>
    </w:p>
    <w:p w14:paraId="079D8888" w14:textId="77777777" w:rsidR="00917B43" w:rsidRPr="00A92233" w:rsidRDefault="00917B43" w:rsidP="000C3BED">
      <w:pPr>
        <w:rPr>
          <w:lang w:val="en-GB" w:bidi="ar-SA"/>
        </w:rPr>
      </w:pPr>
    </w:p>
    <w:p w14:paraId="4E13A920" w14:textId="0667F2F1" w:rsidR="000C3BED" w:rsidRPr="00A92233" w:rsidRDefault="000C3BED" w:rsidP="000C3BED">
      <w:pPr>
        <w:rPr>
          <w:lang w:val="en-GB" w:bidi="ar-SA"/>
        </w:rPr>
      </w:pPr>
      <w:r w:rsidRPr="00A92233">
        <w:rPr>
          <w:lang w:val="en-GB" w:bidi="ar-SA"/>
        </w:rPr>
        <w:t xml:space="preserve">Bioequivalence of </w:t>
      </w:r>
      <w:r w:rsidR="00FD7080" w:rsidRPr="00A92233">
        <w:rPr>
          <w:lang w:val="en-GB" w:bidi="ar-SA"/>
        </w:rPr>
        <w:t>DHA-B</w:t>
      </w:r>
      <w:r w:rsidRPr="00A92233">
        <w:rPr>
          <w:lang w:val="en-GB" w:bidi="ar-SA"/>
        </w:rPr>
        <w:t xml:space="preserve"> and DHASCO</w:t>
      </w:r>
      <w:r w:rsidRPr="00A92233">
        <w:rPr>
          <w:vertAlign w:val="superscript"/>
          <w:lang w:val="en-GB"/>
        </w:rPr>
        <w:t>®</w:t>
      </w:r>
      <w:r w:rsidRPr="00A92233">
        <w:rPr>
          <w:lang w:val="en-GB" w:bidi="ar-SA"/>
        </w:rPr>
        <w:t xml:space="preserve"> was indicated by piglet growth and tolerance data, as well as DHA accretion in tissues. In plasma and red blood cells dose</w:t>
      </w:r>
      <w:r w:rsidR="00C37AF8" w:rsidRPr="00A92233">
        <w:rPr>
          <w:lang w:val="en-GB" w:bidi="ar-SA"/>
        </w:rPr>
        <w:t>-</w:t>
      </w:r>
      <w:r w:rsidRPr="00A92233">
        <w:rPr>
          <w:lang w:val="en-GB" w:bidi="ar-SA"/>
        </w:rPr>
        <w:t xml:space="preserve">dependent increases in DHA levels were seen in the </w:t>
      </w:r>
      <w:r w:rsidR="00FD7080" w:rsidRPr="00A92233">
        <w:rPr>
          <w:lang w:val="en-GB" w:bidi="ar-SA"/>
        </w:rPr>
        <w:t>DHA-B</w:t>
      </w:r>
      <w:r w:rsidRPr="00A92233">
        <w:rPr>
          <w:lang w:val="en-GB" w:bidi="ar-SA"/>
        </w:rPr>
        <w:t xml:space="preserve"> and DHASCO</w:t>
      </w:r>
      <w:r w:rsidR="00CE5720" w:rsidRPr="00A92233">
        <w:rPr>
          <w:vertAlign w:val="superscript"/>
          <w:lang w:val="en-GB"/>
        </w:rPr>
        <w:t>®</w:t>
      </w:r>
      <w:r w:rsidRPr="00A92233">
        <w:rPr>
          <w:lang w:val="en-GB" w:bidi="ar-SA"/>
        </w:rPr>
        <w:t xml:space="preserve"> treated animals.</w:t>
      </w:r>
    </w:p>
    <w:p w14:paraId="758DFC2B" w14:textId="5CDFC84A" w:rsidR="000C3BED" w:rsidRPr="00A92233" w:rsidRDefault="00CB73A8" w:rsidP="00A92233">
      <w:pPr>
        <w:pStyle w:val="Heading4"/>
        <w:rPr>
          <w:lang w:val="en-GB"/>
        </w:rPr>
      </w:pPr>
      <w:r w:rsidRPr="00A92233">
        <w:rPr>
          <w:lang w:val="en-GB"/>
        </w:rPr>
        <w:t>4.</w:t>
      </w:r>
      <w:r w:rsidR="00255D57" w:rsidRPr="00A92233">
        <w:rPr>
          <w:lang w:val="en-GB"/>
        </w:rPr>
        <w:t>5</w:t>
      </w:r>
      <w:r w:rsidRPr="00A92233">
        <w:rPr>
          <w:lang w:val="en-GB"/>
        </w:rPr>
        <w:t>.1.2</w:t>
      </w:r>
      <w:r w:rsidRPr="00A92233">
        <w:rPr>
          <w:lang w:val="en-GB"/>
        </w:rPr>
        <w:tab/>
      </w:r>
      <w:r w:rsidR="00917B43" w:rsidRPr="00A92233">
        <w:rPr>
          <w:lang w:val="en-GB"/>
        </w:rPr>
        <w:t xml:space="preserve">Growth and tolerance </w:t>
      </w:r>
      <w:r w:rsidR="000C3BED" w:rsidRPr="00A92233">
        <w:rPr>
          <w:lang w:val="en-GB"/>
        </w:rPr>
        <w:t>studies</w:t>
      </w:r>
      <w:r w:rsidR="00917B43" w:rsidRPr="00A92233">
        <w:rPr>
          <w:lang w:val="en-GB"/>
        </w:rPr>
        <w:t xml:space="preserve"> in infants</w:t>
      </w:r>
    </w:p>
    <w:p w14:paraId="54982EC5" w14:textId="0B583D5F" w:rsidR="00917B43" w:rsidRPr="00A92233" w:rsidRDefault="00917B43" w:rsidP="00917B43">
      <w:pPr>
        <w:rPr>
          <w:lang w:val="en-GB" w:bidi="ar-SA"/>
        </w:rPr>
      </w:pPr>
      <w:r w:rsidRPr="00A92233">
        <w:rPr>
          <w:lang w:val="en-GB" w:bidi="ar-SA"/>
        </w:rPr>
        <w:t xml:space="preserve">FSANZ found only one human study which directly compared </w:t>
      </w:r>
      <w:r w:rsidR="00FD7080" w:rsidRPr="00A92233">
        <w:rPr>
          <w:lang w:val="en-GB" w:bidi="ar-SA"/>
        </w:rPr>
        <w:t>DHA-B</w:t>
      </w:r>
      <w:r w:rsidRPr="00A92233">
        <w:rPr>
          <w:lang w:val="en-GB" w:bidi="ar-SA"/>
        </w:rPr>
        <w:t xml:space="preserve"> in infant formula products to DHASCO</w:t>
      </w:r>
      <w:r w:rsidRPr="00A92233">
        <w:rPr>
          <w:vertAlign w:val="superscript"/>
          <w:lang w:val="en-GB"/>
        </w:rPr>
        <w:t>®</w:t>
      </w:r>
      <w:r w:rsidRPr="00A92233">
        <w:rPr>
          <w:lang w:val="en-GB" w:bidi="ar-SA"/>
        </w:rPr>
        <w:t xml:space="preserve"> in infant formula products. Patterson et al. (2016) studied the growth and tolerance in term infants of a routine infant formula containing </w:t>
      </w:r>
      <w:r w:rsidR="00FD7080" w:rsidRPr="00A92233">
        <w:rPr>
          <w:lang w:val="en-GB" w:bidi="ar-SA"/>
        </w:rPr>
        <w:t>DHA-B</w:t>
      </w:r>
      <w:r w:rsidRPr="00A92233">
        <w:rPr>
          <w:lang w:val="en-GB" w:bidi="ar-SA"/>
        </w:rPr>
        <w:t xml:space="preserve"> compared to the marketed formula with DHASCO </w:t>
      </w:r>
      <w:r w:rsidRPr="00A92233">
        <w:rPr>
          <w:lang w:val="en-GB"/>
        </w:rPr>
        <w:t xml:space="preserve">® </w:t>
      </w:r>
      <w:r w:rsidRPr="00A92233">
        <w:rPr>
          <w:lang w:val="en-GB" w:bidi="ar-SA"/>
        </w:rPr>
        <w:t xml:space="preserve">and reported results in an abstract published in the </w:t>
      </w:r>
      <w:r w:rsidRPr="00A92233">
        <w:rPr>
          <w:i/>
          <w:lang w:val="en-GB" w:bidi="ar-SA"/>
        </w:rPr>
        <w:t>FASEB Journal</w:t>
      </w:r>
      <w:r w:rsidRPr="00A92233">
        <w:rPr>
          <w:lang w:val="en-GB" w:bidi="ar-SA"/>
        </w:rPr>
        <w:t>. In this multi-centre double blind randomised controlled parallel group prospective study infants received either DHASCO</w:t>
      </w:r>
      <w:r w:rsidRPr="00A92233">
        <w:rPr>
          <w:lang w:val="en-GB"/>
        </w:rPr>
        <w:t>®</w:t>
      </w:r>
      <w:r w:rsidRPr="00A92233">
        <w:rPr>
          <w:lang w:val="en-GB" w:bidi="ar-SA"/>
        </w:rPr>
        <w:t xml:space="preserve"> or </w:t>
      </w:r>
      <w:r w:rsidR="00FD7080" w:rsidRPr="00A92233">
        <w:rPr>
          <w:lang w:val="en-GB" w:bidi="ar-SA"/>
        </w:rPr>
        <w:t>DHA-B</w:t>
      </w:r>
      <w:r w:rsidRPr="00A92233">
        <w:rPr>
          <w:lang w:val="en-GB" w:bidi="ar-SA"/>
        </w:rPr>
        <w:t xml:space="preserve"> and growth rates from 14 to 120 days were compared, as well as DHA and AA concentrations in red blood cells. No significant group differences were observed for weight, length, or head circumference growth rates by gender from 14 to 120 days of age. No statistically significant differences in total red blood cell DHA or AA concentrations or per cent of total fatty acids (w/w) were detected. The authors concluded that the results of the study demonstrated that </w:t>
      </w:r>
      <w:r w:rsidR="00FD7080" w:rsidRPr="00A92233">
        <w:rPr>
          <w:lang w:val="en-GB" w:bidi="ar-SA"/>
        </w:rPr>
        <w:t>DHA-B</w:t>
      </w:r>
      <w:r w:rsidRPr="00A92233">
        <w:rPr>
          <w:lang w:val="en-GB" w:bidi="ar-SA"/>
        </w:rPr>
        <w:t xml:space="preserve"> provided adequate growth and dietary equivalence to DHASCO</w:t>
      </w:r>
      <w:r w:rsidRPr="002A3274">
        <w:rPr>
          <w:vertAlign w:val="superscript"/>
          <w:lang w:val="en-GB"/>
        </w:rPr>
        <w:t>®</w:t>
      </w:r>
      <w:r w:rsidRPr="00A92233">
        <w:rPr>
          <w:lang w:val="en-GB" w:bidi="ar-SA"/>
        </w:rPr>
        <w:t xml:space="preserve"> when fed to healthy term infants.</w:t>
      </w:r>
    </w:p>
    <w:p w14:paraId="33CFBC0F" w14:textId="77777777" w:rsidR="00917B43" w:rsidRPr="00A92233" w:rsidRDefault="00917B43" w:rsidP="000C3BED">
      <w:pPr>
        <w:rPr>
          <w:lang w:val="en-GB" w:bidi="ar-SA"/>
        </w:rPr>
      </w:pPr>
    </w:p>
    <w:p w14:paraId="5115CD9A" w14:textId="77777777" w:rsidR="00BE3399" w:rsidRDefault="00C053BA" w:rsidP="00A54180">
      <w:pPr>
        <w:widowControl/>
        <w:rPr>
          <w:lang w:val="en-GB" w:bidi="ar-SA"/>
        </w:rPr>
      </w:pPr>
      <w:r w:rsidRPr="00A92233">
        <w:rPr>
          <w:lang w:val="en-GB" w:bidi="ar-SA"/>
        </w:rPr>
        <w:t>A large scale clinical trial supported by DSM comparing DHASCO</w:t>
      </w:r>
      <w:r w:rsidRPr="00A92233">
        <w:rPr>
          <w:vertAlign w:val="superscript"/>
          <w:lang w:val="en-GB"/>
        </w:rPr>
        <w:t>®</w:t>
      </w:r>
      <w:r w:rsidRPr="00A92233">
        <w:rPr>
          <w:lang w:val="en-GB" w:bidi="ar-SA"/>
        </w:rPr>
        <w:t xml:space="preserve"> and </w:t>
      </w:r>
      <w:r w:rsidR="00FD7080" w:rsidRPr="00A92233">
        <w:rPr>
          <w:lang w:val="en-GB" w:bidi="ar-SA"/>
        </w:rPr>
        <w:t>DHA-B</w:t>
      </w:r>
      <w:r w:rsidRPr="00A92233">
        <w:rPr>
          <w:lang w:val="en-GB" w:bidi="ar-SA"/>
        </w:rPr>
        <w:t xml:space="preserve"> in terms of infant growth and development is currently under</w:t>
      </w:r>
      <w:r w:rsidR="00BE3399">
        <w:rPr>
          <w:lang w:val="en-GB" w:bidi="ar-SA"/>
        </w:rPr>
        <w:t xml:space="preserve"> </w:t>
      </w:r>
      <w:r w:rsidRPr="00A92233">
        <w:rPr>
          <w:lang w:val="en-GB" w:bidi="ar-SA"/>
        </w:rPr>
        <w:t xml:space="preserve">way. </w:t>
      </w:r>
      <w:r w:rsidR="00BE3399">
        <w:rPr>
          <w:lang w:val="en-GB" w:bidi="ar-SA"/>
        </w:rPr>
        <w:br w:type="page"/>
      </w:r>
    </w:p>
    <w:p w14:paraId="54617BE9" w14:textId="195117A5" w:rsidR="00C053BA" w:rsidRPr="00A92233" w:rsidRDefault="00C053BA" w:rsidP="00A54180">
      <w:pPr>
        <w:widowControl/>
        <w:rPr>
          <w:lang w:val="en-GB" w:bidi="ar-SA"/>
        </w:rPr>
      </w:pPr>
      <w:r w:rsidRPr="00A92233">
        <w:rPr>
          <w:lang w:val="en-GB" w:bidi="ar-SA"/>
        </w:rPr>
        <w:lastRenderedPageBreak/>
        <w:t>The primary objective of this study is to determine if the weight gain of healthy term infants fed a commercially available term infant formula supplemented with DHASCO</w:t>
      </w:r>
      <w:r w:rsidRPr="002A3274">
        <w:rPr>
          <w:vertAlign w:val="superscript"/>
          <w:lang w:val="en-GB"/>
        </w:rPr>
        <w:t>®</w:t>
      </w:r>
      <w:r w:rsidRPr="00A92233">
        <w:rPr>
          <w:lang w:val="en-GB" w:bidi="ar-SA"/>
        </w:rPr>
        <w:t xml:space="preserve"> is similar to that of infants fed the same formula supplemented with </w:t>
      </w:r>
      <w:r w:rsidR="00FD7080" w:rsidRPr="00A92233">
        <w:rPr>
          <w:lang w:val="en-GB" w:bidi="ar-SA"/>
        </w:rPr>
        <w:t>DHA-B</w:t>
      </w:r>
      <w:r w:rsidRPr="00A92233">
        <w:rPr>
          <w:lang w:val="en-GB" w:bidi="ar-SA"/>
        </w:rPr>
        <w:t>. Results are expected to be published late in 2016.</w:t>
      </w:r>
    </w:p>
    <w:p w14:paraId="6C4C7BE1" w14:textId="77777777" w:rsidR="00C053BA" w:rsidRPr="00A92233" w:rsidRDefault="00C053BA" w:rsidP="000C3BED">
      <w:pPr>
        <w:rPr>
          <w:lang w:val="en-GB" w:bidi="ar-SA"/>
        </w:rPr>
      </w:pPr>
    </w:p>
    <w:p w14:paraId="206160DF" w14:textId="734D5C78" w:rsidR="000C3BED" w:rsidRPr="00A92233" w:rsidRDefault="00917B43" w:rsidP="00A92233">
      <w:pPr>
        <w:tabs>
          <w:tab w:val="left" w:pos="709"/>
        </w:tabs>
        <w:rPr>
          <w:lang w:val="en-GB" w:bidi="ar-SA"/>
        </w:rPr>
      </w:pPr>
      <w:r w:rsidRPr="00A92233">
        <w:rPr>
          <w:lang w:val="en-GB" w:bidi="ar-SA"/>
        </w:rPr>
        <w:t>In addition, t</w:t>
      </w:r>
      <w:r w:rsidR="000C3BED" w:rsidRPr="00A92233">
        <w:rPr>
          <w:lang w:val="en-GB" w:bidi="ar-SA"/>
        </w:rPr>
        <w:t xml:space="preserve">he </w:t>
      </w:r>
      <w:r w:rsidR="00200B76">
        <w:rPr>
          <w:lang w:val="en-GB" w:bidi="ar-SA"/>
        </w:rPr>
        <w:t>Applicant</w:t>
      </w:r>
      <w:r w:rsidR="000C3BED" w:rsidRPr="00A92233">
        <w:rPr>
          <w:lang w:val="en-GB" w:bidi="ar-SA"/>
        </w:rPr>
        <w:t xml:space="preserve"> provided details of six moderate to high quality studies conducted in over 100 infant participants to demonstrate the maintenance of normal growth by DHA (combined with A</w:t>
      </w:r>
      <w:r w:rsidR="00B20D0F" w:rsidRPr="00A92233">
        <w:rPr>
          <w:lang w:val="en-GB" w:bidi="ar-SA"/>
        </w:rPr>
        <w:t>R</w:t>
      </w:r>
      <w:r w:rsidR="000C3BED" w:rsidRPr="00A92233">
        <w:rPr>
          <w:lang w:val="en-GB" w:bidi="ar-SA"/>
        </w:rPr>
        <w:t>A) levels ranging from 0.12 to 0.35% of total fatty acids.</w:t>
      </w:r>
      <w:r w:rsidR="00E05071" w:rsidRPr="00A92233">
        <w:rPr>
          <w:lang w:val="en-GB" w:bidi="ar-SA"/>
        </w:rPr>
        <w:t xml:space="preserve"> Studies were only included if </w:t>
      </w:r>
      <w:r w:rsidR="000C3BED" w:rsidRPr="00A92233">
        <w:rPr>
          <w:lang w:val="en-GB" w:bidi="ar-SA"/>
        </w:rPr>
        <w:t xml:space="preserve">supplementation started within the first month of life and continued for at least </w:t>
      </w:r>
      <w:r w:rsidR="002C1759">
        <w:rPr>
          <w:lang w:val="en-GB" w:bidi="ar-SA"/>
        </w:rPr>
        <w:t>three</w:t>
      </w:r>
      <w:r w:rsidR="000C3BED" w:rsidRPr="00A92233">
        <w:rPr>
          <w:lang w:val="en-GB" w:bidi="ar-SA"/>
        </w:rPr>
        <w:t xml:space="preserve"> months. All were double blind, randomised controlled trials and included a reference group consuming </w:t>
      </w:r>
      <w:r w:rsidR="00AD603F">
        <w:rPr>
          <w:lang w:val="en-GB" w:bidi="ar-SA"/>
        </w:rPr>
        <w:t>breast milk</w:t>
      </w:r>
      <w:r w:rsidR="000C3BED" w:rsidRPr="00A92233">
        <w:rPr>
          <w:lang w:val="en-GB" w:bidi="ar-SA"/>
        </w:rPr>
        <w:t>. Both preterm infants (Vanderhoof 1999; O’Connor et al. 2001; Clandinin et al. 2005) and term infants (Auestad, Montalto, Hall et al. 1997; Auestad, Halter, Hall et al. 2001; Auestad, Scott, Janowsky et al. 2003; Makrides et al. 1999) were studied. The supplemental DHA (and A</w:t>
      </w:r>
      <w:r w:rsidR="00B20D0F" w:rsidRPr="00A92233">
        <w:rPr>
          <w:lang w:val="en-GB" w:bidi="ar-SA"/>
        </w:rPr>
        <w:t>R</w:t>
      </w:r>
      <w:r w:rsidR="000C3BED" w:rsidRPr="00A92233">
        <w:rPr>
          <w:lang w:val="en-GB" w:bidi="ar-SA"/>
        </w:rPr>
        <w:t>A) was sourced from algal oil, fish oil and phospholipids from eggs. All studies maintained at least 20 infants per group throughout the duration of investigation</w:t>
      </w:r>
      <w:r w:rsidR="00A11242" w:rsidRPr="00A92233">
        <w:rPr>
          <w:lang w:val="en-GB" w:bidi="ar-SA"/>
        </w:rPr>
        <w:t>.</w:t>
      </w:r>
      <w:r w:rsidR="000C3BED" w:rsidRPr="00A92233">
        <w:rPr>
          <w:lang w:val="en-GB" w:bidi="ar-SA"/>
        </w:rPr>
        <w:t xml:space="preserve"> Studies of term infants reported no differences between DHA (and A</w:t>
      </w:r>
      <w:r w:rsidR="00DE5966" w:rsidRPr="00A92233">
        <w:rPr>
          <w:lang w:val="en-GB" w:bidi="ar-SA"/>
        </w:rPr>
        <w:t>R</w:t>
      </w:r>
      <w:r w:rsidR="000C3BED" w:rsidRPr="00A92233">
        <w:rPr>
          <w:lang w:val="en-GB" w:bidi="ar-SA"/>
        </w:rPr>
        <w:t xml:space="preserve">A) supplemented groups and control or </w:t>
      </w:r>
      <w:r w:rsidR="00AD603F">
        <w:rPr>
          <w:lang w:val="en-GB" w:bidi="ar-SA"/>
        </w:rPr>
        <w:t>breast milk</w:t>
      </w:r>
      <w:r w:rsidR="000C3BED" w:rsidRPr="00A92233">
        <w:rPr>
          <w:lang w:val="en-GB" w:bidi="ar-SA"/>
        </w:rPr>
        <w:t xml:space="preserve"> fed groups. Enhanced growth outcomes were reported in the studies of preterm infants in response to DHA (and A</w:t>
      </w:r>
      <w:r w:rsidR="00B20D0F" w:rsidRPr="00A92233">
        <w:rPr>
          <w:lang w:val="en-GB" w:bidi="ar-SA"/>
        </w:rPr>
        <w:t>R</w:t>
      </w:r>
      <w:r w:rsidR="000C3BED" w:rsidRPr="00A92233">
        <w:rPr>
          <w:lang w:val="en-GB" w:bidi="ar-SA"/>
        </w:rPr>
        <w:t xml:space="preserve">A) supplementation when compared to control and </w:t>
      </w:r>
      <w:r w:rsidR="00085EB2" w:rsidRPr="00A92233">
        <w:rPr>
          <w:lang w:val="en-GB" w:bidi="ar-SA"/>
        </w:rPr>
        <w:t>breastfed infants</w:t>
      </w:r>
      <w:r w:rsidR="00413628" w:rsidRPr="00A92233">
        <w:rPr>
          <w:lang w:val="en-GB" w:bidi="ar-SA"/>
        </w:rPr>
        <w:t>.</w:t>
      </w:r>
      <w:r w:rsidR="00E05071" w:rsidRPr="00A92233">
        <w:rPr>
          <w:lang w:val="en-GB" w:bidi="ar-SA"/>
        </w:rPr>
        <w:t xml:space="preserve"> </w:t>
      </w:r>
      <w:r w:rsidR="0060695A" w:rsidRPr="00A92233">
        <w:rPr>
          <w:lang w:val="en-GB" w:bidi="ar-SA"/>
        </w:rPr>
        <w:t xml:space="preserve">These results are summarised in </w:t>
      </w:r>
      <w:r w:rsidR="00A54180" w:rsidRPr="00A92233">
        <w:rPr>
          <w:lang w:val="en-GB" w:bidi="ar-SA"/>
        </w:rPr>
        <w:t xml:space="preserve">Tables </w:t>
      </w:r>
      <w:r w:rsidR="00F77724" w:rsidRPr="00A92233">
        <w:rPr>
          <w:lang w:val="en-GB" w:bidi="ar-SA"/>
        </w:rPr>
        <w:t xml:space="preserve">A.1 and A.2 </w:t>
      </w:r>
      <w:r w:rsidR="0060695A" w:rsidRPr="00A92233">
        <w:rPr>
          <w:lang w:val="en-GB" w:bidi="ar-SA"/>
        </w:rPr>
        <w:t xml:space="preserve">in </w:t>
      </w:r>
      <w:r w:rsidR="00A54180" w:rsidRPr="00A92233">
        <w:rPr>
          <w:lang w:val="en-GB" w:bidi="ar-SA"/>
        </w:rPr>
        <w:t xml:space="preserve">Appendix </w:t>
      </w:r>
      <w:r w:rsidR="00F77724" w:rsidRPr="00A92233">
        <w:rPr>
          <w:lang w:val="en-GB" w:bidi="ar-SA"/>
        </w:rPr>
        <w:t>1</w:t>
      </w:r>
      <w:r w:rsidR="0060695A" w:rsidRPr="00A92233">
        <w:rPr>
          <w:lang w:val="en-GB" w:bidi="ar-SA"/>
        </w:rPr>
        <w:t xml:space="preserve">. </w:t>
      </w:r>
    </w:p>
    <w:p w14:paraId="52CE1843" w14:textId="77777777" w:rsidR="000C3BED" w:rsidRPr="00A92233" w:rsidRDefault="000C3BED" w:rsidP="000C3BED">
      <w:pPr>
        <w:rPr>
          <w:lang w:val="en-GB" w:bidi="ar-SA"/>
        </w:rPr>
      </w:pPr>
    </w:p>
    <w:p w14:paraId="1C25914D" w14:textId="58044718" w:rsidR="0017612B" w:rsidRPr="00FA31C9" w:rsidRDefault="000C3BED" w:rsidP="00FA31C9">
      <w:pPr>
        <w:widowControl/>
        <w:rPr>
          <w:rFonts w:eastAsia="Arial Unicode MS" w:cs="Arial"/>
        </w:rPr>
      </w:pPr>
      <w:r w:rsidRPr="00A92233">
        <w:rPr>
          <w:lang w:val="en-GB" w:bidi="ar-SA"/>
        </w:rPr>
        <w:t xml:space="preserve">The </w:t>
      </w:r>
      <w:r w:rsidR="00200B76">
        <w:rPr>
          <w:lang w:val="en-GB" w:bidi="ar-SA"/>
        </w:rPr>
        <w:t>Applicant</w:t>
      </w:r>
      <w:r w:rsidRPr="00A92233">
        <w:rPr>
          <w:lang w:val="en-GB" w:bidi="ar-SA"/>
        </w:rPr>
        <w:t xml:space="preserve"> </w:t>
      </w:r>
      <w:r w:rsidR="00917B43" w:rsidRPr="00A92233">
        <w:rPr>
          <w:lang w:val="en-GB" w:bidi="ar-SA"/>
        </w:rPr>
        <w:t xml:space="preserve">also </w:t>
      </w:r>
      <w:r w:rsidRPr="00A92233">
        <w:rPr>
          <w:lang w:val="en-GB" w:bidi="ar-SA"/>
        </w:rPr>
        <w:t>provided details of eight moderate to high quality studies to demonstrate no risk of nutritional imbalances as a result of infants fed infant formula containing DHA (along with A</w:t>
      </w:r>
      <w:r w:rsidR="00D61661" w:rsidRPr="00A92233">
        <w:rPr>
          <w:lang w:val="en-GB" w:bidi="ar-SA"/>
        </w:rPr>
        <w:t>R</w:t>
      </w:r>
      <w:r w:rsidRPr="00A92233">
        <w:rPr>
          <w:lang w:val="en-GB" w:bidi="ar-SA"/>
        </w:rPr>
        <w:t xml:space="preserve">A). </w:t>
      </w:r>
      <w:r w:rsidR="009A280A" w:rsidRPr="00A92233">
        <w:rPr>
          <w:lang w:val="en-GB" w:bidi="ar-SA"/>
        </w:rPr>
        <w:t xml:space="preserve">Studies were only included if LC-PUFA supplementation started within one month of age and supplementation continued for a minimum of 3 to 4 months, and also included a </w:t>
      </w:r>
      <w:r w:rsidR="00AD603F">
        <w:rPr>
          <w:lang w:val="en-GB" w:bidi="ar-SA"/>
        </w:rPr>
        <w:t>breast milk</w:t>
      </w:r>
      <w:r w:rsidR="009A280A" w:rsidRPr="00A92233">
        <w:rPr>
          <w:lang w:val="en-GB" w:bidi="ar-SA"/>
        </w:rPr>
        <w:t xml:space="preserve"> fed control group. </w:t>
      </w:r>
      <w:r w:rsidR="00917B43" w:rsidRPr="00A92233">
        <w:rPr>
          <w:lang w:val="en-GB" w:bidi="ar-SA"/>
        </w:rPr>
        <w:t>Seven of the studies were double blinded randomised controlled trials.</w:t>
      </w:r>
      <w:r w:rsidR="00D61661" w:rsidRPr="00A92233">
        <w:rPr>
          <w:lang w:val="en-GB" w:bidi="ar-SA"/>
        </w:rPr>
        <w:t xml:space="preserve"> </w:t>
      </w:r>
      <w:r w:rsidRPr="00A92233">
        <w:rPr>
          <w:lang w:val="en-GB" w:bidi="ar-SA"/>
        </w:rPr>
        <w:t xml:space="preserve">Over 1700 infants, of both term and preterm status participated. No evidence was found to suggest that a risk of nutrient imbalance exists as a result of feeding infants </w:t>
      </w:r>
      <w:r w:rsidR="00FA31C9">
        <w:rPr>
          <w:lang w:val="en-GB" w:bidi="ar-SA"/>
        </w:rPr>
        <w:t>infant formula products</w:t>
      </w:r>
      <w:r w:rsidR="00FA31C9" w:rsidRPr="00A92233">
        <w:rPr>
          <w:lang w:val="en-GB" w:bidi="ar-SA"/>
        </w:rPr>
        <w:t xml:space="preserve"> </w:t>
      </w:r>
      <w:r w:rsidRPr="00A92233">
        <w:rPr>
          <w:lang w:val="en-GB" w:bidi="ar-SA"/>
        </w:rPr>
        <w:t>containing DHA (along with A</w:t>
      </w:r>
      <w:r w:rsidR="00B20D0F" w:rsidRPr="00A92233">
        <w:rPr>
          <w:lang w:val="en-GB" w:bidi="ar-SA"/>
        </w:rPr>
        <w:t>R</w:t>
      </w:r>
      <w:r w:rsidRPr="00A92233">
        <w:rPr>
          <w:lang w:val="en-GB" w:bidi="ar-SA"/>
        </w:rPr>
        <w:t xml:space="preserve">A). The </w:t>
      </w:r>
      <w:r w:rsidR="00200B76">
        <w:rPr>
          <w:lang w:val="en-GB" w:bidi="ar-SA"/>
        </w:rPr>
        <w:t>Applicant</w:t>
      </w:r>
      <w:r w:rsidRPr="00A92233">
        <w:rPr>
          <w:lang w:val="en-GB" w:bidi="ar-SA"/>
        </w:rPr>
        <w:t xml:space="preserve"> noted that no studies have reported reduced A</w:t>
      </w:r>
      <w:r w:rsidR="00B20D0F" w:rsidRPr="00A92233">
        <w:rPr>
          <w:lang w:val="en-GB" w:bidi="ar-SA"/>
        </w:rPr>
        <w:t>R</w:t>
      </w:r>
      <w:r w:rsidRPr="00A92233">
        <w:rPr>
          <w:lang w:val="en-GB" w:bidi="ar-SA"/>
        </w:rPr>
        <w:t>A blood levels when DHA and A</w:t>
      </w:r>
      <w:r w:rsidR="00B20D0F" w:rsidRPr="00A92233">
        <w:rPr>
          <w:lang w:val="en-GB" w:bidi="ar-SA"/>
        </w:rPr>
        <w:t>R</w:t>
      </w:r>
      <w:r w:rsidRPr="00A92233">
        <w:rPr>
          <w:lang w:val="en-GB" w:bidi="ar-SA"/>
        </w:rPr>
        <w:t xml:space="preserve">A are provided at levels consistent with current commercial practice, and feeding the </w:t>
      </w:r>
      <w:r w:rsidR="00917B43" w:rsidRPr="00A92233">
        <w:rPr>
          <w:lang w:val="en-GB" w:bidi="ar-SA"/>
        </w:rPr>
        <w:t xml:space="preserve">two </w:t>
      </w:r>
      <w:r w:rsidR="00413628" w:rsidRPr="00A92233">
        <w:rPr>
          <w:lang w:val="en-GB" w:bidi="ar-SA"/>
        </w:rPr>
        <w:t>LC-PUFA</w:t>
      </w:r>
      <w:r w:rsidRPr="00A92233">
        <w:rPr>
          <w:lang w:val="en-GB" w:bidi="ar-SA"/>
        </w:rPr>
        <w:t xml:space="preserve"> together supports blood levels similar to those of breastfed infants. Supplementation of DHA alone typically reduces</w:t>
      </w:r>
      <w:r w:rsidR="00841D0C" w:rsidRPr="00A92233">
        <w:rPr>
          <w:lang w:val="en-GB" w:bidi="ar-SA"/>
        </w:rPr>
        <w:t xml:space="preserve"> </w:t>
      </w:r>
      <w:r w:rsidRPr="00A92233">
        <w:rPr>
          <w:lang w:val="en-GB" w:bidi="ar-SA"/>
        </w:rPr>
        <w:t>A</w:t>
      </w:r>
      <w:r w:rsidR="00B20D0F" w:rsidRPr="00A92233">
        <w:rPr>
          <w:lang w:val="en-GB" w:bidi="ar-SA"/>
        </w:rPr>
        <w:t>R</w:t>
      </w:r>
      <w:r w:rsidRPr="00A92233">
        <w:rPr>
          <w:lang w:val="en-GB" w:bidi="ar-SA"/>
        </w:rPr>
        <w:t xml:space="preserve">A tissue levels. </w:t>
      </w:r>
      <w:r w:rsidRPr="00A92233">
        <w:rPr>
          <w:lang w:val="en-GB" w:eastAsia="en-AU" w:bidi="ar-SA"/>
        </w:rPr>
        <w:t xml:space="preserve">However </w:t>
      </w:r>
      <w:r w:rsidR="00DE5966" w:rsidRPr="00A92233">
        <w:rPr>
          <w:lang w:val="en-GB" w:eastAsia="en-AU" w:bidi="ar-SA"/>
        </w:rPr>
        <w:t xml:space="preserve">the recent scientific opinion from the </w:t>
      </w:r>
      <w:r w:rsidR="00DE5966" w:rsidRPr="00A92233">
        <w:rPr>
          <w:rFonts w:eastAsia="Arial Unicode MS"/>
          <w:szCs w:val="22"/>
          <w:lang w:val="en-GB" w:bidi="ar-SA"/>
        </w:rPr>
        <w:t xml:space="preserve">EFSA (2014) concluded that concomitant supply of ARA was unnecessary when DHA was added to </w:t>
      </w:r>
      <w:r w:rsidR="00FA31C9">
        <w:rPr>
          <w:rFonts w:eastAsia="Arial Unicode MS"/>
          <w:szCs w:val="22"/>
          <w:lang w:val="en-GB" w:bidi="ar-SA"/>
        </w:rPr>
        <w:t>infant formula products</w:t>
      </w:r>
      <w:r w:rsidR="00DE5966" w:rsidRPr="00A92233">
        <w:rPr>
          <w:rFonts w:eastAsia="Arial Unicode MS"/>
          <w:szCs w:val="22"/>
          <w:lang w:val="en-GB" w:bidi="ar-SA"/>
        </w:rPr>
        <w:t xml:space="preserve">. However, </w:t>
      </w:r>
      <w:r w:rsidR="0017612B" w:rsidRPr="00A92233">
        <w:rPr>
          <w:rFonts w:eastAsia="Arial Unicode MS"/>
          <w:noProof/>
          <w:szCs w:val="22"/>
          <w:lang w:val="en-GB" w:bidi="ar-SA"/>
        </w:rPr>
        <w:t xml:space="preserve">Koletzko et al. 2015 </w:t>
      </w:r>
      <w:r w:rsidR="00DE5966" w:rsidRPr="00A92233">
        <w:rPr>
          <w:rFonts w:eastAsia="Arial Unicode MS"/>
          <w:szCs w:val="22"/>
          <w:lang w:val="en-GB" w:bidi="ar-SA"/>
        </w:rPr>
        <w:t xml:space="preserve">noted that addition of DHA without AA is not supported by </w:t>
      </w:r>
      <w:r w:rsidR="00DE5966" w:rsidRPr="00A92233">
        <w:rPr>
          <w:rFonts w:eastAsia="Arial Unicode MS"/>
        </w:rPr>
        <w:t xml:space="preserve">clinical trials. </w:t>
      </w:r>
      <w:r w:rsidR="0017612B" w:rsidRPr="00A92233">
        <w:rPr>
          <w:rFonts w:eastAsia="Arial Unicode MS" w:hint="eastAsia"/>
        </w:rPr>
        <w:t xml:space="preserve">The current composition restrictions on fatty acids in </w:t>
      </w:r>
      <w:r w:rsidR="00FA31C9">
        <w:rPr>
          <w:rFonts w:eastAsia="Arial Unicode MS"/>
        </w:rPr>
        <w:t>infant formula products</w:t>
      </w:r>
      <w:r w:rsidR="00FA31C9" w:rsidRPr="00A92233">
        <w:rPr>
          <w:rFonts w:eastAsia="Arial Unicode MS"/>
        </w:rPr>
        <w:t xml:space="preserve"> </w:t>
      </w:r>
      <w:r w:rsidR="0017612B" w:rsidRPr="00A92233">
        <w:rPr>
          <w:rFonts w:eastAsia="Arial Unicode MS" w:hint="eastAsia"/>
        </w:rPr>
        <w:t>in Standard 2.9.1 include prescribed maximum amounts of n-</w:t>
      </w:r>
      <w:r w:rsidR="0017612B" w:rsidRPr="00FA31C9">
        <w:rPr>
          <w:rFonts w:eastAsia="Arial Unicode MS" w:cs="Arial"/>
        </w:rPr>
        <w:t xml:space="preserve">6 and n-3 PUFAs and the ratio n-6:n-3 ≥ 1. This restriction is intended to apply to maximum amounts and ratios of ARA and DHA based on a FSANZ assessment for an </w:t>
      </w:r>
      <w:r w:rsidR="00A54180" w:rsidRPr="00FA31C9">
        <w:rPr>
          <w:rFonts w:eastAsia="Arial Unicode MS" w:cs="Arial"/>
        </w:rPr>
        <w:t xml:space="preserve">application </w:t>
      </w:r>
      <w:r w:rsidR="0017612B" w:rsidRPr="00FA31C9">
        <w:rPr>
          <w:rFonts w:eastAsia="Arial Unicode MS" w:cs="Arial"/>
        </w:rPr>
        <w:t xml:space="preserve">to change the Code which sought to amend the n-6:n-3 ratio from 2:1 to at least 1:1 (or n-6 ≥ n-3) (FSANZ 2016). </w:t>
      </w:r>
    </w:p>
    <w:p w14:paraId="6F56FF5C" w14:textId="38415F48" w:rsidR="00255D57" w:rsidRPr="00FE490D" w:rsidRDefault="00255D57" w:rsidP="00CE5720">
      <w:pPr>
        <w:pStyle w:val="Heading2"/>
      </w:pPr>
      <w:bookmarkStart w:id="77" w:name="_Toc464129795"/>
      <w:r w:rsidRPr="00FE490D">
        <w:t>4.6</w:t>
      </w:r>
      <w:r w:rsidRPr="00FE490D">
        <w:tab/>
        <w:t>Dietary Intake</w:t>
      </w:r>
      <w:bookmarkEnd w:id="77"/>
    </w:p>
    <w:p w14:paraId="61A8193C" w14:textId="3C245908" w:rsidR="00255D57" w:rsidRPr="00A92233" w:rsidRDefault="00FD7080" w:rsidP="007F42A6">
      <w:pPr>
        <w:rPr>
          <w:lang w:val="en-GB" w:bidi="ar-SA"/>
        </w:rPr>
      </w:pPr>
      <w:r w:rsidRPr="00A92233">
        <w:rPr>
          <w:lang w:val="en-GB" w:bidi="ar-SA"/>
        </w:rPr>
        <w:t>DHA-B</w:t>
      </w:r>
      <w:r w:rsidR="00255D57" w:rsidRPr="00A92233">
        <w:rPr>
          <w:lang w:val="en-GB" w:bidi="ar-SA"/>
        </w:rPr>
        <w:t xml:space="preserve"> is proposed to be added to </w:t>
      </w:r>
      <w:r w:rsidR="00A54180">
        <w:rPr>
          <w:lang w:val="en-GB" w:bidi="ar-SA"/>
        </w:rPr>
        <w:t>infant formula products</w:t>
      </w:r>
      <w:r w:rsidR="00A54180" w:rsidRPr="00A92233">
        <w:rPr>
          <w:lang w:val="en-GB" w:bidi="ar-SA"/>
        </w:rPr>
        <w:t xml:space="preserve"> </w:t>
      </w:r>
      <w:r w:rsidR="00255D57" w:rsidRPr="00A92233">
        <w:rPr>
          <w:lang w:val="en-GB" w:bidi="ar-SA"/>
        </w:rPr>
        <w:t xml:space="preserve">at </w:t>
      </w:r>
      <w:r w:rsidR="00B20D0F" w:rsidRPr="00A92233">
        <w:rPr>
          <w:lang w:val="en-GB" w:bidi="ar-SA"/>
        </w:rPr>
        <w:t xml:space="preserve">similar levels to the current use of DHA-rich oils in </w:t>
      </w:r>
      <w:r w:rsidR="00A54180">
        <w:rPr>
          <w:lang w:val="en-GB" w:bidi="ar-SA"/>
        </w:rPr>
        <w:t>infant formula products</w:t>
      </w:r>
      <w:r w:rsidR="00B20D0F" w:rsidRPr="00A92233">
        <w:rPr>
          <w:lang w:val="en-GB" w:bidi="ar-SA"/>
        </w:rPr>
        <w:t xml:space="preserve">. This is consistent with Standard 2.9.1, which allows </w:t>
      </w:r>
      <w:r w:rsidR="00255D57" w:rsidRPr="00A92233">
        <w:rPr>
          <w:lang w:val="en-GB" w:bidi="ar-SA"/>
        </w:rPr>
        <w:t xml:space="preserve">n-3 LC-PUFA up to 1% of </w:t>
      </w:r>
      <w:r w:rsidR="00B20D0F" w:rsidRPr="00A92233">
        <w:rPr>
          <w:lang w:val="en-GB" w:bidi="ar-SA"/>
        </w:rPr>
        <w:t xml:space="preserve">total fatty acids in the infant </w:t>
      </w:r>
      <w:r w:rsidR="00255D57" w:rsidRPr="00A92233">
        <w:rPr>
          <w:lang w:val="en-GB" w:bidi="ar-SA"/>
        </w:rPr>
        <w:t>formula</w:t>
      </w:r>
      <w:r w:rsidR="00B20D0F" w:rsidRPr="00A92233">
        <w:rPr>
          <w:lang w:val="en-GB" w:bidi="ar-SA"/>
        </w:rPr>
        <w:t xml:space="preserve"> product</w:t>
      </w:r>
      <w:r w:rsidR="00255D57" w:rsidRPr="00A92233">
        <w:rPr>
          <w:lang w:val="en-GB" w:bidi="ar-SA"/>
        </w:rPr>
        <w:t>.</w:t>
      </w:r>
      <w:r w:rsidR="00B20D0F" w:rsidRPr="00A92233">
        <w:rPr>
          <w:lang w:val="en-GB" w:bidi="ar-SA"/>
        </w:rPr>
        <w:t xml:space="preserve"> Thus a dietary intake assessment was not required for this application. </w:t>
      </w:r>
      <w:r w:rsidR="007F42A6" w:rsidRPr="00A92233">
        <w:rPr>
          <w:lang w:val="en-GB" w:bidi="ar-SA"/>
        </w:rPr>
        <w:t xml:space="preserve">Previous assessments reported </w:t>
      </w:r>
      <w:r w:rsidR="00255D57" w:rsidRPr="00A92233">
        <w:rPr>
          <w:lang w:val="en-GB" w:bidi="ar-SA"/>
        </w:rPr>
        <w:t>DHA</w:t>
      </w:r>
      <w:r w:rsidR="007F42A6" w:rsidRPr="00A92233">
        <w:rPr>
          <w:lang w:val="en-GB" w:bidi="ar-SA"/>
        </w:rPr>
        <w:t xml:space="preserve">-rich oils were </w:t>
      </w:r>
      <w:r w:rsidR="00255D57" w:rsidRPr="00A92233">
        <w:rPr>
          <w:lang w:val="en-GB" w:bidi="ar-SA"/>
        </w:rPr>
        <w:t xml:space="preserve">being added to </w:t>
      </w:r>
      <w:r w:rsidR="00A54180">
        <w:rPr>
          <w:lang w:val="en-GB" w:bidi="ar-SA"/>
        </w:rPr>
        <w:t>infant formula products</w:t>
      </w:r>
      <w:r w:rsidR="00A54180" w:rsidRPr="00A92233">
        <w:rPr>
          <w:lang w:val="en-GB" w:bidi="ar-SA"/>
        </w:rPr>
        <w:t xml:space="preserve"> </w:t>
      </w:r>
      <w:r w:rsidR="00255D57" w:rsidRPr="00A92233">
        <w:rPr>
          <w:lang w:val="en-GB" w:bidi="ar-SA"/>
        </w:rPr>
        <w:t>at levels that provide up to 0.5% of formula fat (</w:t>
      </w:r>
      <w:r w:rsidR="007F42A6" w:rsidRPr="00A92233">
        <w:rPr>
          <w:lang w:val="en-GB" w:bidi="ar-SA"/>
        </w:rPr>
        <w:t>FSANZ, 2002)</w:t>
      </w:r>
      <w:r w:rsidR="00255D57" w:rsidRPr="00A92233">
        <w:rPr>
          <w:lang w:val="en-GB" w:bidi="ar-SA"/>
        </w:rPr>
        <w:t>.</w:t>
      </w:r>
    </w:p>
    <w:p w14:paraId="08DCF542" w14:textId="77777777" w:rsidR="00255D57" w:rsidRPr="00A92233" w:rsidRDefault="00255D57" w:rsidP="00255D57">
      <w:pPr>
        <w:rPr>
          <w:lang w:val="en-GB" w:bidi="ar-SA"/>
        </w:rPr>
      </w:pPr>
    </w:p>
    <w:p w14:paraId="2031D7B9" w14:textId="49F0D260" w:rsidR="00BE3399" w:rsidRDefault="00255D57" w:rsidP="0045721E">
      <w:pPr>
        <w:widowControl/>
        <w:rPr>
          <w:rFonts w:eastAsia="Arial Unicode MS"/>
          <w:lang w:val="en-GB"/>
        </w:rPr>
      </w:pPr>
      <w:r w:rsidRPr="00A92233">
        <w:rPr>
          <w:rFonts w:eastAsia="Arial Unicode MS"/>
          <w:lang w:val="en-GB"/>
        </w:rPr>
        <w:t xml:space="preserve">The NHMRC has not set an Estimated Average Requirement (EAR), Recommended Dietary Intake (RDI) or Adequate Intake (AI) for total fat as it is the type of fats consumed that relate to nutritional essentiality and to many of the physiological and health outcomes. </w:t>
      </w:r>
      <w:r w:rsidR="00BE3399">
        <w:rPr>
          <w:rFonts w:eastAsia="Arial Unicode MS"/>
          <w:lang w:val="en-GB"/>
        </w:rPr>
        <w:br w:type="page"/>
      </w:r>
    </w:p>
    <w:p w14:paraId="1FB98C04" w14:textId="01636787" w:rsidR="00255D57" w:rsidRPr="00A92233" w:rsidRDefault="00255D57" w:rsidP="0045721E">
      <w:pPr>
        <w:widowControl/>
        <w:rPr>
          <w:rFonts w:eastAsia="Arial Unicode MS"/>
          <w:lang w:val="en-GB"/>
        </w:rPr>
      </w:pPr>
      <w:r w:rsidRPr="00A92233">
        <w:rPr>
          <w:rFonts w:eastAsia="Arial Unicode MS"/>
          <w:lang w:val="en-GB"/>
        </w:rPr>
        <w:lastRenderedPageBreak/>
        <w:t xml:space="preserve">In infancy, as fat is the major source of energy in </w:t>
      </w:r>
      <w:r w:rsidR="00AD603F">
        <w:rPr>
          <w:rFonts w:eastAsia="Arial Unicode MS"/>
          <w:lang w:val="en-GB"/>
        </w:rPr>
        <w:t>breast milk</w:t>
      </w:r>
      <w:r w:rsidRPr="00A92233">
        <w:rPr>
          <w:rFonts w:eastAsia="Arial Unicode MS"/>
          <w:lang w:val="en-GB"/>
        </w:rPr>
        <w:t xml:space="preserve">, an AI recommendation for total fat has been made based on </w:t>
      </w:r>
      <w:r w:rsidR="00AD603F">
        <w:rPr>
          <w:rFonts w:eastAsia="Arial Unicode MS"/>
          <w:lang w:val="en-GB"/>
        </w:rPr>
        <w:t>breast milk</w:t>
      </w:r>
      <w:r w:rsidRPr="00A92233">
        <w:rPr>
          <w:rFonts w:eastAsia="Arial Unicode MS"/>
          <w:lang w:val="en-GB"/>
        </w:rPr>
        <w:t xml:space="preserve"> composition. Recommendations for fatty acids in infancy are also based on total </w:t>
      </w:r>
      <w:r w:rsidR="0017612B" w:rsidRPr="00A92233">
        <w:rPr>
          <w:rFonts w:eastAsia="Arial Unicode MS"/>
          <w:lang w:val="en-GB"/>
        </w:rPr>
        <w:t>n</w:t>
      </w:r>
      <w:r w:rsidRPr="00A92233">
        <w:rPr>
          <w:rFonts w:eastAsia="Arial Unicode MS"/>
          <w:lang w:val="en-GB"/>
        </w:rPr>
        <w:t xml:space="preserve">-6 or </w:t>
      </w:r>
      <w:r w:rsidR="0017612B" w:rsidRPr="00A92233">
        <w:rPr>
          <w:rFonts w:eastAsia="Arial Unicode MS"/>
          <w:lang w:val="en-GB"/>
        </w:rPr>
        <w:t>n</w:t>
      </w:r>
      <w:r w:rsidRPr="00A92233">
        <w:rPr>
          <w:rFonts w:eastAsia="Arial Unicode MS"/>
          <w:lang w:val="en-GB"/>
        </w:rPr>
        <w:t xml:space="preserve">-3, derived from the composition of </w:t>
      </w:r>
      <w:r w:rsidR="00AD603F">
        <w:rPr>
          <w:rFonts w:eastAsia="Arial Unicode MS"/>
          <w:lang w:val="en-GB"/>
        </w:rPr>
        <w:t>breast milk</w:t>
      </w:r>
      <w:r w:rsidRPr="00A92233">
        <w:rPr>
          <w:rFonts w:eastAsia="Arial Unicode MS"/>
          <w:lang w:val="en-GB"/>
        </w:rPr>
        <w:t xml:space="preserve"> (NHMRC 2006).</w:t>
      </w:r>
    </w:p>
    <w:p w14:paraId="2C3D4148" w14:textId="77777777" w:rsidR="00255D57" w:rsidRPr="00A92233" w:rsidRDefault="00255D57" w:rsidP="0045721E">
      <w:pPr>
        <w:widowControl/>
        <w:rPr>
          <w:rFonts w:eastAsia="Arial Unicode MS"/>
          <w:lang w:val="en-GB"/>
        </w:rPr>
      </w:pPr>
    </w:p>
    <w:p w14:paraId="44FE3A1A" w14:textId="41C51EB1" w:rsidR="00255D57" w:rsidRPr="00A92233" w:rsidRDefault="00255D57" w:rsidP="00255D57">
      <w:pPr>
        <w:rPr>
          <w:rFonts w:eastAsia="Arial Unicode MS"/>
          <w:lang w:val="en-GB"/>
        </w:rPr>
      </w:pPr>
      <w:r w:rsidRPr="00A92233">
        <w:rPr>
          <w:rFonts w:eastAsia="Arial Unicode MS"/>
          <w:lang w:val="en-GB"/>
        </w:rPr>
        <w:t xml:space="preserve">The AI for infants 0–6 months was set based on the average intake of </w:t>
      </w:r>
      <w:r w:rsidR="00AD603F">
        <w:rPr>
          <w:rFonts w:eastAsia="Arial Unicode MS"/>
          <w:lang w:val="en-GB"/>
        </w:rPr>
        <w:t>breast milk</w:t>
      </w:r>
      <w:r w:rsidRPr="00A92233">
        <w:rPr>
          <w:rFonts w:eastAsia="Arial Unicode MS"/>
          <w:lang w:val="en-GB"/>
        </w:rPr>
        <w:t xml:space="preserve"> (0.78 L/day) and the average concentration of total, omega-6, and omega-3 fats in </w:t>
      </w:r>
      <w:r w:rsidR="00AD603F">
        <w:rPr>
          <w:rFonts w:eastAsia="Arial Unicode MS"/>
          <w:lang w:val="en-GB"/>
        </w:rPr>
        <w:t>breast milk</w:t>
      </w:r>
      <w:r w:rsidRPr="00A92233">
        <w:rPr>
          <w:rFonts w:eastAsia="Arial Unicode MS"/>
          <w:lang w:val="en-GB"/>
        </w:rPr>
        <w:t xml:space="preserve"> (40, 5.6 and 0.63 g/L respectively) from nine studies reviewed by the Food and Nutrition Board, Institute of Medicine (FNB:IOM) (2002) and rounding. The AI for 7</w:t>
      </w:r>
      <w:r w:rsidR="0045721E">
        <w:rPr>
          <w:rFonts w:eastAsia="Arial Unicode MS"/>
          <w:lang w:val="en-GB"/>
        </w:rPr>
        <w:t xml:space="preserve"> </w:t>
      </w:r>
      <w:r w:rsidRPr="00A92233">
        <w:rPr>
          <w:rFonts w:eastAsia="Arial Unicode MS"/>
          <w:lang w:val="en-GB"/>
        </w:rPr>
        <w:t xml:space="preserve">months was similarly set by multiplying together the average intake of </w:t>
      </w:r>
      <w:r w:rsidR="00AD603F">
        <w:rPr>
          <w:rFonts w:eastAsia="Arial Unicode MS"/>
          <w:lang w:val="en-GB"/>
        </w:rPr>
        <w:t>breast milk</w:t>
      </w:r>
      <w:r w:rsidRPr="00A92233">
        <w:rPr>
          <w:rFonts w:eastAsia="Arial Unicode MS"/>
          <w:lang w:val="en-GB"/>
        </w:rPr>
        <w:t xml:space="preserve"> (0.6 L/day) and the average concentration of total, n-6 and n-3 in </w:t>
      </w:r>
      <w:r w:rsidR="00AD603F">
        <w:rPr>
          <w:rFonts w:eastAsia="Arial Unicode MS"/>
          <w:lang w:val="en-GB"/>
        </w:rPr>
        <w:t>breast milk</w:t>
      </w:r>
      <w:r w:rsidRPr="00A92233">
        <w:rPr>
          <w:rFonts w:eastAsia="Arial Unicode MS"/>
          <w:lang w:val="en-GB"/>
        </w:rPr>
        <w:t xml:space="preserve"> and adding the median intake of fats from complementary foods (5.7, 1.2 and 0.11 g/day respectively) from the US CSFII data for 1994</w:t>
      </w:r>
      <w:r w:rsidRPr="00A92233">
        <w:rPr>
          <w:rFonts w:eastAsia="Arial Unicode MS" w:cs="Arial"/>
          <w:lang w:val="en-GB"/>
        </w:rPr>
        <w:t>−</w:t>
      </w:r>
      <w:r w:rsidRPr="00A92233">
        <w:rPr>
          <w:rFonts w:eastAsia="Arial Unicode MS"/>
          <w:lang w:val="en-GB"/>
        </w:rPr>
        <w:t>1996) (Table 1) (FNB:IOM 2002).</w:t>
      </w:r>
      <w:r w:rsidR="007F42A6" w:rsidRPr="00A92233">
        <w:rPr>
          <w:rFonts w:eastAsia="Arial Unicode MS"/>
          <w:lang w:val="en-GB"/>
        </w:rPr>
        <w:t xml:space="preserve"> </w:t>
      </w:r>
      <w:r w:rsidR="007F42A6" w:rsidRPr="00A92233">
        <w:rPr>
          <w:lang w:val="en-GB" w:bidi="ar-SA"/>
        </w:rPr>
        <w:t>It is estimated that 100 mg DHA is the daily reference value for infants and young children aged 7 to 24 months (EFSA 2010).</w:t>
      </w:r>
    </w:p>
    <w:p w14:paraId="2CDD8D4D" w14:textId="77777777" w:rsidR="00765BB6" w:rsidRPr="00A92233" w:rsidRDefault="00765BB6" w:rsidP="00255D57">
      <w:pPr>
        <w:rPr>
          <w:rFonts w:eastAsia="Arial Unicode MS"/>
          <w:lang w:val="en-GB"/>
        </w:rPr>
      </w:pPr>
    </w:p>
    <w:p w14:paraId="0F64CA27" w14:textId="77777777" w:rsidR="00255D57" w:rsidRDefault="00255D57" w:rsidP="00A54180">
      <w:pPr>
        <w:pStyle w:val="FSTableTitle"/>
        <w:widowControl/>
        <w:rPr>
          <w:rFonts w:eastAsia="Arial Unicode MS"/>
          <w:lang w:val="en-GB"/>
        </w:rPr>
      </w:pPr>
      <w:r w:rsidRPr="00A92233">
        <w:rPr>
          <w:rFonts w:eastAsia="Arial Unicode MS"/>
          <w:lang w:val="en-GB"/>
        </w:rPr>
        <w:t>Table 4.2: Total fat and fatty acid recommendations for infants</w:t>
      </w:r>
    </w:p>
    <w:p w14:paraId="21CD1827" w14:textId="77777777" w:rsidR="00306822" w:rsidRPr="00A92233" w:rsidRDefault="00306822" w:rsidP="00A54180">
      <w:pPr>
        <w:widowControl/>
        <w:rPr>
          <w:rFonts w:eastAsia="Arial Unicode MS"/>
          <w:lang w:val="en-GB"/>
        </w:rPr>
      </w:pPr>
    </w:p>
    <w:tbl>
      <w:tblPr>
        <w:tblStyle w:val="LightShading-Accent1"/>
        <w:tblW w:w="9072" w:type="dxa"/>
        <w:tblLook w:val="04A0" w:firstRow="1" w:lastRow="0" w:firstColumn="1" w:lastColumn="0" w:noHBand="0" w:noVBand="1"/>
        <w:tblCaption w:val="Fat and fatty acid recommendations for infants "/>
        <w:tblDescription w:val="This table shows the recommended intakes of fat and fatty acids for infants in Australia and New Zealand "/>
      </w:tblPr>
      <w:tblGrid>
        <w:gridCol w:w="3026"/>
        <w:gridCol w:w="3016"/>
        <w:gridCol w:w="3030"/>
      </w:tblGrid>
      <w:tr w:rsidR="00255D57" w:rsidRPr="00DE5269" w14:paraId="55B80E66" w14:textId="77777777" w:rsidTr="00A922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95" w:type="dxa"/>
          </w:tcPr>
          <w:p w14:paraId="65A091EF" w14:textId="7B67A477" w:rsidR="00255D57" w:rsidRPr="00A92233" w:rsidRDefault="00255D57" w:rsidP="00A54180">
            <w:pPr>
              <w:widowControl/>
              <w:jc w:val="center"/>
              <w:rPr>
                <w:rFonts w:ascii="Arial Bold" w:eastAsia="Arial Unicode MS" w:hAnsi="Arial Bold" w:cs="Arial"/>
                <w:color w:val="auto"/>
                <w:sz w:val="20"/>
                <w:szCs w:val="20"/>
                <w:lang w:val="en-GB"/>
              </w:rPr>
            </w:pPr>
            <w:r w:rsidRPr="00A92233">
              <w:rPr>
                <w:rFonts w:ascii="Arial Bold" w:eastAsia="Arial Unicode MS" w:hAnsi="Arial Bold" w:cs="Arial"/>
                <w:sz w:val="20"/>
                <w:szCs w:val="20"/>
                <w:lang w:val="en-GB"/>
              </w:rPr>
              <w:t>Infant age (months)</w:t>
            </w:r>
          </w:p>
        </w:tc>
        <w:tc>
          <w:tcPr>
            <w:tcW w:w="3095" w:type="dxa"/>
          </w:tcPr>
          <w:p w14:paraId="5C0B59AF" w14:textId="77777777" w:rsidR="00255D57" w:rsidRPr="00A92233" w:rsidRDefault="00255D57" w:rsidP="00A54180">
            <w:pPr>
              <w:widowControl/>
              <w:jc w:val="center"/>
              <w:cnfStyle w:val="100000000000" w:firstRow="1" w:lastRow="0" w:firstColumn="0" w:lastColumn="0" w:oddVBand="0" w:evenVBand="0" w:oddHBand="0" w:evenHBand="0" w:firstRowFirstColumn="0" w:firstRowLastColumn="0" w:lastRowFirstColumn="0" w:lastRowLastColumn="0"/>
              <w:rPr>
                <w:rFonts w:ascii="Arial Bold" w:eastAsia="Arial Unicode MS" w:hAnsi="Arial Bold" w:cs="Arial"/>
                <w:color w:val="auto"/>
                <w:sz w:val="20"/>
                <w:szCs w:val="20"/>
                <w:lang w:val="en-GB"/>
              </w:rPr>
            </w:pPr>
            <w:r w:rsidRPr="00A92233">
              <w:rPr>
                <w:rFonts w:ascii="Arial Bold" w:eastAsia="Arial Unicode MS" w:hAnsi="Arial Bold" w:cs="Arial"/>
                <w:sz w:val="20"/>
                <w:szCs w:val="20"/>
                <w:lang w:val="en-GB"/>
              </w:rPr>
              <w:t>Type of fat</w:t>
            </w:r>
          </w:p>
        </w:tc>
        <w:tc>
          <w:tcPr>
            <w:tcW w:w="3096" w:type="dxa"/>
          </w:tcPr>
          <w:p w14:paraId="3A7C82F0" w14:textId="77777777" w:rsidR="00255D57" w:rsidRPr="00A92233" w:rsidRDefault="00255D57" w:rsidP="00A54180">
            <w:pPr>
              <w:widowControl/>
              <w:jc w:val="center"/>
              <w:cnfStyle w:val="100000000000" w:firstRow="1" w:lastRow="0" w:firstColumn="0" w:lastColumn="0" w:oddVBand="0" w:evenVBand="0" w:oddHBand="0" w:evenHBand="0" w:firstRowFirstColumn="0" w:firstRowLastColumn="0" w:lastRowFirstColumn="0" w:lastRowLastColumn="0"/>
              <w:rPr>
                <w:rFonts w:ascii="Arial Bold" w:eastAsia="Arial Unicode MS" w:hAnsi="Arial Bold" w:cs="Arial"/>
                <w:color w:val="auto"/>
                <w:sz w:val="20"/>
                <w:szCs w:val="20"/>
                <w:lang w:val="en-GB"/>
              </w:rPr>
            </w:pPr>
            <w:r w:rsidRPr="00A92233">
              <w:rPr>
                <w:rFonts w:ascii="Arial Bold" w:eastAsia="Arial Unicode MS" w:hAnsi="Arial Bold" w:cs="Arial"/>
                <w:sz w:val="20"/>
                <w:szCs w:val="20"/>
                <w:lang w:val="en-GB"/>
              </w:rPr>
              <w:t>Adequate Intake (g/day)</w:t>
            </w:r>
          </w:p>
        </w:tc>
      </w:tr>
      <w:tr w:rsidR="00255D57" w:rsidRPr="00DE5269" w14:paraId="5EAAFC04" w14:textId="77777777" w:rsidTr="00A9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110D3766" w14:textId="77777777" w:rsidR="00255D57" w:rsidRPr="00A92233" w:rsidRDefault="00255D57" w:rsidP="00A54180">
            <w:pPr>
              <w:widowControl/>
              <w:jc w:val="center"/>
              <w:rPr>
                <w:rFonts w:eastAsia="Arial Unicode MS" w:cs="Arial"/>
                <w:color w:val="auto"/>
                <w:sz w:val="20"/>
                <w:szCs w:val="20"/>
                <w:lang w:val="en-GB"/>
              </w:rPr>
            </w:pPr>
            <w:r w:rsidRPr="00A92233">
              <w:rPr>
                <w:rFonts w:eastAsia="Arial Unicode MS" w:cs="Arial"/>
                <w:sz w:val="20"/>
                <w:szCs w:val="20"/>
                <w:lang w:val="en-GB"/>
              </w:rPr>
              <w:t>0−6</w:t>
            </w:r>
          </w:p>
        </w:tc>
        <w:tc>
          <w:tcPr>
            <w:tcW w:w="3095" w:type="dxa"/>
          </w:tcPr>
          <w:p w14:paraId="4312FD73" w14:textId="77777777" w:rsidR="00255D57" w:rsidRPr="00A92233" w:rsidRDefault="00255D57" w:rsidP="00A54180">
            <w:pPr>
              <w:widowControl/>
              <w:jc w:val="center"/>
              <w:cnfStyle w:val="000000100000" w:firstRow="0" w:lastRow="0" w:firstColumn="0" w:lastColumn="0" w:oddVBand="0" w:evenVBand="0" w:oddHBand="1"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Total fat</w:t>
            </w:r>
          </w:p>
        </w:tc>
        <w:tc>
          <w:tcPr>
            <w:tcW w:w="3096" w:type="dxa"/>
          </w:tcPr>
          <w:p w14:paraId="4A9203DC" w14:textId="77777777" w:rsidR="00255D57" w:rsidRPr="00A92233" w:rsidRDefault="00255D57" w:rsidP="00A54180">
            <w:pPr>
              <w:widowControl/>
              <w:jc w:val="center"/>
              <w:cnfStyle w:val="000000100000" w:firstRow="0" w:lastRow="0" w:firstColumn="0" w:lastColumn="0" w:oddVBand="0" w:evenVBand="0" w:oddHBand="1"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31</w:t>
            </w:r>
          </w:p>
        </w:tc>
      </w:tr>
      <w:tr w:rsidR="00255D57" w:rsidRPr="00DE5269" w14:paraId="16DB00BB" w14:textId="77777777" w:rsidTr="00A92233">
        <w:tc>
          <w:tcPr>
            <w:cnfStyle w:val="001000000000" w:firstRow="0" w:lastRow="0" w:firstColumn="1" w:lastColumn="0" w:oddVBand="0" w:evenVBand="0" w:oddHBand="0" w:evenHBand="0" w:firstRowFirstColumn="0" w:firstRowLastColumn="0" w:lastRowFirstColumn="0" w:lastRowLastColumn="0"/>
            <w:tcW w:w="3095" w:type="dxa"/>
          </w:tcPr>
          <w:p w14:paraId="60931146" w14:textId="77777777" w:rsidR="00255D57" w:rsidRPr="00A92233" w:rsidRDefault="00255D57" w:rsidP="00A54180">
            <w:pPr>
              <w:widowControl/>
              <w:jc w:val="center"/>
              <w:rPr>
                <w:rFonts w:eastAsia="Arial Unicode MS" w:cs="Arial"/>
                <w:color w:val="auto"/>
                <w:sz w:val="20"/>
                <w:szCs w:val="20"/>
                <w:lang w:val="en-GB"/>
              </w:rPr>
            </w:pPr>
          </w:p>
        </w:tc>
        <w:tc>
          <w:tcPr>
            <w:tcW w:w="3095" w:type="dxa"/>
          </w:tcPr>
          <w:p w14:paraId="050A92E2" w14:textId="77777777" w:rsidR="00255D57" w:rsidRPr="00A92233" w:rsidRDefault="00255D57" w:rsidP="00A54180">
            <w:pPr>
              <w:widowControl/>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n-6 PUFA</w:t>
            </w:r>
          </w:p>
        </w:tc>
        <w:tc>
          <w:tcPr>
            <w:tcW w:w="3096" w:type="dxa"/>
          </w:tcPr>
          <w:p w14:paraId="01B1A386" w14:textId="77777777" w:rsidR="00255D57" w:rsidRPr="00A92233" w:rsidRDefault="00255D57" w:rsidP="00A54180">
            <w:pPr>
              <w:widowControl/>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4.4</w:t>
            </w:r>
          </w:p>
        </w:tc>
      </w:tr>
      <w:tr w:rsidR="00255D57" w:rsidRPr="00DE5269" w14:paraId="686A5D89" w14:textId="77777777" w:rsidTr="00A9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6AB7D07D" w14:textId="77777777" w:rsidR="00255D57" w:rsidRPr="00A92233" w:rsidRDefault="00255D57" w:rsidP="00A54180">
            <w:pPr>
              <w:widowControl/>
              <w:jc w:val="center"/>
              <w:rPr>
                <w:rFonts w:eastAsia="Arial Unicode MS" w:cs="Arial"/>
                <w:color w:val="auto"/>
                <w:sz w:val="20"/>
                <w:szCs w:val="20"/>
                <w:lang w:val="en-GB"/>
              </w:rPr>
            </w:pPr>
          </w:p>
        </w:tc>
        <w:tc>
          <w:tcPr>
            <w:tcW w:w="3095" w:type="dxa"/>
          </w:tcPr>
          <w:p w14:paraId="28C631FD" w14:textId="77777777" w:rsidR="00255D57" w:rsidRPr="00A92233" w:rsidRDefault="00255D57" w:rsidP="00A54180">
            <w:pPr>
              <w:widowControl/>
              <w:jc w:val="center"/>
              <w:cnfStyle w:val="000000100000" w:firstRow="0" w:lastRow="0" w:firstColumn="0" w:lastColumn="0" w:oddVBand="0" w:evenVBand="0" w:oddHBand="1"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n-3 PUFA</w:t>
            </w:r>
          </w:p>
        </w:tc>
        <w:tc>
          <w:tcPr>
            <w:tcW w:w="3096" w:type="dxa"/>
          </w:tcPr>
          <w:p w14:paraId="567883EF" w14:textId="77777777" w:rsidR="00255D57" w:rsidRPr="00A92233" w:rsidRDefault="00255D57" w:rsidP="00A54180">
            <w:pPr>
              <w:widowControl/>
              <w:jc w:val="center"/>
              <w:cnfStyle w:val="000000100000" w:firstRow="0" w:lastRow="0" w:firstColumn="0" w:lastColumn="0" w:oddVBand="0" w:evenVBand="0" w:oddHBand="1"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0.5</w:t>
            </w:r>
          </w:p>
        </w:tc>
      </w:tr>
      <w:tr w:rsidR="00255D57" w:rsidRPr="00DE5269" w14:paraId="3B7845C1" w14:textId="77777777" w:rsidTr="00A92233">
        <w:tc>
          <w:tcPr>
            <w:cnfStyle w:val="001000000000" w:firstRow="0" w:lastRow="0" w:firstColumn="1" w:lastColumn="0" w:oddVBand="0" w:evenVBand="0" w:oddHBand="0" w:evenHBand="0" w:firstRowFirstColumn="0" w:firstRowLastColumn="0" w:lastRowFirstColumn="0" w:lastRowLastColumn="0"/>
            <w:tcW w:w="3095" w:type="dxa"/>
          </w:tcPr>
          <w:p w14:paraId="53933852" w14:textId="77777777" w:rsidR="00255D57" w:rsidRPr="00A92233" w:rsidRDefault="00255D57" w:rsidP="00A54180">
            <w:pPr>
              <w:widowControl/>
              <w:jc w:val="center"/>
              <w:rPr>
                <w:rFonts w:eastAsia="Arial Unicode MS" w:cs="Arial"/>
                <w:color w:val="auto"/>
                <w:sz w:val="20"/>
                <w:szCs w:val="20"/>
                <w:lang w:val="en-GB"/>
              </w:rPr>
            </w:pPr>
            <w:r w:rsidRPr="00A92233">
              <w:rPr>
                <w:rFonts w:eastAsia="Arial Unicode MS" w:cs="Arial"/>
                <w:sz w:val="20"/>
                <w:szCs w:val="20"/>
                <w:lang w:val="en-GB"/>
              </w:rPr>
              <w:t>7−12</w:t>
            </w:r>
          </w:p>
        </w:tc>
        <w:tc>
          <w:tcPr>
            <w:tcW w:w="3095" w:type="dxa"/>
          </w:tcPr>
          <w:p w14:paraId="51E47CAD" w14:textId="77777777" w:rsidR="00255D57" w:rsidRPr="00A92233" w:rsidRDefault="00255D57" w:rsidP="00A54180">
            <w:pPr>
              <w:widowControl/>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Total fat</w:t>
            </w:r>
          </w:p>
        </w:tc>
        <w:tc>
          <w:tcPr>
            <w:tcW w:w="3096" w:type="dxa"/>
          </w:tcPr>
          <w:p w14:paraId="458FDF59" w14:textId="77777777" w:rsidR="00255D57" w:rsidRPr="00A92233" w:rsidRDefault="00255D57" w:rsidP="00A54180">
            <w:pPr>
              <w:widowControl/>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30</w:t>
            </w:r>
          </w:p>
        </w:tc>
      </w:tr>
      <w:tr w:rsidR="00255D57" w:rsidRPr="00DE5269" w14:paraId="115D6D22" w14:textId="77777777" w:rsidTr="00A92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1018D096" w14:textId="77777777" w:rsidR="00255D57" w:rsidRPr="00A92233" w:rsidRDefault="00255D57" w:rsidP="00A54180">
            <w:pPr>
              <w:widowControl/>
              <w:jc w:val="center"/>
              <w:rPr>
                <w:rFonts w:eastAsia="Arial Unicode MS" w:cs="Arial"/>
                <w:color w:val="auto"/>
                <w:sz w:val="20"/>
                <w:szCs w:val="20"/>
                <w:lang w:val="en-GB"/>
              </w:rPr>
            </w:pPr>
          </w:p>
        </w:tc>
        <w:tc>
          <w:tcPr>
            <w:tcW w:w="3095" w:type="dxa"/>
          </w:tcPr>
          <w:p w14:paraId="2306CB4F" w14:textId="77777777" w:rsidR="00255D57" w:rsidRPr="00A92233" w:rsidRDefault="00255D57" w:rsidP="00A54180">
            <w:pPr>
              <w:widowControl/>
              <w:jc w:val="center"/>
              <w:cnfStyle w:val="000000100000" w:firstRow="0" w:lastRow="0" w:firstColumn="0" w:lastColumn="0" w:oddVBand="0" w:evenVBand="0" w:oddHBand="1"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n-6 PUFA</w:t>
            </w:r>
          </w:p>
        </w:tc>
        <w:tc>
          <w:tcPr>
            <w:tcW w:w="3096" w:type="dxa"/>
          </w:tcPr>
          <w:p w14:paraId="56B24DBF" w14:textId="77777777" w:rsidR="00255D57" w:rsidRPr="00A92233" w:rsidRDefault="00255D57" w:rsidP="00A54180">
            <w:pPr>
              <w:widowControl/>
              <w:jc w:val="center"/>
              <w:cnfStyle w:val="000000100000" w:firstRow="0" w:lastRow="0" w:firstColumn="0" w:lastColumn="0" w:oddVBand="0" w:evenVBand="0" w:oddHBand="1"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4.6</w:t>
            </w:r>
          </w:p>
        </w:tc>
      </w:tr>
      <w:tr w:rsidR="00255D57" w:rsidRPr="00DE5269" w14:paraId="781AB0F4" w14:textId="77777777" w:rsidTr="00A92233">
        <w:tc>
          <w:tcPr>
            <w:cnfStyle w:val="001000000000" w:firstRow="0" w:lastRow="0" w:firstColumn="1" w:lastColumn="0" w:oddVBand="0" w:evenVBand="0" w:oddHBand="0" w:evenHBand="0" w:firstRowFirstColumn="0" w:firstRowLastColumn="0" w:lastRowFirstColumn="0" w:lastRowLastColumn="0"/>
            <w:tcW w:w="3095" w:type="dxa"/>
          </w:tcPr>
          <w:p w14:paraId="48307589" w14:textId="77777777" w:rsidR="00255D57" w:rsidRPr="00A92233" w:rsidRDefault="00255D57" w:rsidP="00A54180">
            <w:pPr>
              <w:widowControl/>
              <w:rPr>
                <w:rFonts w:eastAsia="Arial Unicode MS" w:cs="Arial"/>
                <w:color w:val="auto"/>
                <w:sz w:val="20"/>
                <w:szCs w:val="20"/>
                <w:lang w:val="en-GB"/>
              </w:rPr>
            </w:pPr>
          </w:p>
        </w:tc>
        <w:tc>
          <w:tcPr>
            <w:tcW w:w="3095" w:type="dxa"/>
          </w:tcPr>
          <w:p w14:paraId="0619EDDA" w14:textId="77777777" w:rsidR="00255D57" w:rsidRPr="00A92233" w:rsidRDefault="00255D57" w:rsidP="00A54180">
            <w:pPr>
              <w:widowControl/>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n-3 PUFA</w:t>
            </w:r>
          </w:p>
        </w:tc>
        <w:tc>
          <w:tcPr>
            <w:tcW w:w="3096" w:type="dxa"/>
          </w:tcPr>
          <w:p w14:paraId="2BC678F2" w14:textId="77777777" w:rsidR="00255D57" w:rsidRPr="00A92233" w:rsidRDefault="00255D57" w:rsidP="00A54180">
            <w:pPr>
              <w:widowControl/>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auto"/>
                <w:sz w:val="20"/>
                <w:szCs w:val="20"/>
                <w:lang w:val="en-GB"/>
              </w:rPr>
            </w:pPr>
            <w:r w:rsidRPr="00A92233">
              <w:rPr>
                <w:rFonts w:eastAsia="Arial Unicode MS" w:cs="Arial"/>
                <w:sz w:val="20"/>
                <w:szCs w:val="20"/>
                <w:lang w:val="en-GB"/>
              </w:rPr>
              <w:t>0.5</w:t>
            </w:r>
          </w:p>
        </w:tc>
      </w:tr>
    </w:tbl>
    <w:p w14:paraId="33038710" w14:textId="674EFBA3" w:rsidR="00255D57" w:rsidRPr="00A92233" w:rsidRDefault="00255D57" w:rsidP="00A54180">
      <w:pPr>
        <w:widowControl/>
        <w:rPr>
          <w:rFonts w:eastAsia="Arial Unicode MS" w:cs="Arial"/>
          <w:sz w:val="20"/>
          <w:szCs w:val="20"/>
          <w:lang w:val="en-GB"/>
        </w:rPr>
      </w:pPr>
      <w:r w:rsidRPr="00A92233">
        <w:rPr>
          <w:rFonts w:eastAsia="Arial Unicode MS" w:cs="Arial"/>
          <w:sz w:val="20"/>
          <w:szCs w:val="20"/>
          <w:lang w:val="en-GB"/>
        </w:rPr>
        <w:t xml:space="preserve">From NHMRC </w:t>
      </w:r>
      <w:r w:rsidR="004136F4" w:rsidRPr="00A92233">
        <w:rPr>
          <w:rFonts w:eastAsia="Arial Unicode MS" w:cs="Arial"/>
          <w:sz w:val="20"/>
          <w:szCs w:val="20"/>
          <w:lang w:val="en-GB"/>
        </w:rPr>
        <w:t>&amp; MoH</w:t>
      </w:r>
      <w:r w:rsidR="00CE5720" w:rsidRPr="00A92233">
        <w:rPr>
          <w:rFonts w:eastAsia="Arial Unicode MS" w:cs="Arial"/>
          <w:sz w:val="20"/>
          <w:szCs w:val="20"/>
          <w:lang w:val="en-GB"/>
        </w:rPr>
        <w:t xml:space="preserve"> </w:t>
      </w:r>
      <w:r w:rsidRPr="00A92233">
        <w:rPr>
          <w:rFonts w:eastAsia="Arial Unicode MS" w:cs="Arial"/>
          <w:sz w:val="20"/>
          <w:szCs w:val="20"/>
          <w:lang w:val="en-GB"/>
        </w:rPr>
        <w:t>2006.</w:t>
      </w:r>
    </w:p>
    <w:p w14:paraId="2CE763B2" w14:textId="3443D24B" w:rsidR="000C3BED" w:rsidRPr="00A76FA6" w:rsidRDefault="00CB73A8" w:rsidP="00A54180">
      <w:pPr>
        <w:pStyle w:val="Heading2"/>
        <w:keepNext w:val="0"/>
        <w:keepLines w:val="0"/>
        <w:widowControl/>
      </w:pPr>
      <w:bookmarkStart w:id="78" w:name="_Toc464129796"/>
      <w:r w:rsidRPr="00FE490D">
        <w:t>4.7</w:t>
      </w:r>
      <w:r w:rsidRPr="00FE490D">
        <w:tab/>
      </w:r>
      <w:r w:rsidR="002008FF" w:rsidRPr="00A76FA6">
        <w:t>Nutrition assessment c</w:t>
      </w:r>
      <w:r w:rsidR="000C3BED" w:rsidRPr="00A76FA6">
        <w:t>onclusion</w:t>
      </w:r>
      <w:bookmarkEnd w:id="78"/>
    </w:p>
    <w:p w14:paraId="66F617B6" w14:textId="3D5A1F25" w:rsidR="000C3BED" w:rsidRPr="00A92233" w:rsidRDefault="000C3BED" w:rsidP="00A54180">
      <w:pPr>
        <w:widowControl/>
        <w:rPr>
          <w:lang w:val="en-GB"/>
        </w:rPr>
      </w:pPr>
      <w:r w:rsidRPr="00A92233">
        <w:rPr>
          <w:lang w:val="en-GB"/>
        </w:rPr>
        <w:t xml:space="preserve">The submitted data are considered appropriate to define the nutritional adequacy of </w:t>
      </w:r>
      <w:r w:rsidR="00FD7080" w:rsidRPr="00A92233">
        <w:rPr>
          <w:lang w:val="en-GB"/>
        </w:rPr>
        <w:t>DHA-B</w:t>
      </w:r>
      <w:r w:rsidRPr="00A92233">
        <w:rPr>
          <w:lang w:val="en-GB"/>
        </w:rPr>
        <w:t>.</w:t>
      </w:r>
      <w:r w:rsidR="0045721E">
        <w:rPr>
          <w:lang w:val="en-GB"/>
        </w:rPr>
        <w:t xml:space="preserve"> </w:t>
      </w:r>
      <w:r w:rsidRPr="00A92233">
        <w:rPr>
          <w:lang w:val="en-GB"/>
        </w:rPr>
        <w:t xml:space="preserve">The main difference between the products is the ratio of EPA to DHA and the other fatty acids in </w:t>
      </w:r>
      <w:r w:rsidR="00FD7080" w:rsidRPr="00A92233">
        <w:rPr>
          <w:lang w:val="en-GB"/>
        </w:rPr>
        <w:t>DHA-B</w:t>
      </w:r>
      <w:r w:rsidRPr="00A92233">
        <w:rPr>
          <w:lang w:val="en-GB"/>
        </w:rPr>
        <w:t xml:space="preserve"> are normal components of edible oils</w:t>
      </w:r>
      <w:r w:rsidR="00413628" w:rsidRPr="00A92233">
        <w:rPr>
          <w:lang w:val="en-GB"/>
        </w:rPr>
        <w:t xml:space="preserve">. </w:t>
      </w:r>
      <w:r w:rsidRPr="00A92233">
        <w:rPr>
          <w:lang w:val="en-GB"/>
        </w:rPr>
        <w:t xml:space="preserve">In general, the fatty acid composition of </w:t>
      </w:r>
      <w:r w:rsidR="00FD7080" w:rsidRPr="00A92233">
        <w:rPr>
          <w:lang w:val="en-GB"/>
        </w:rPr>
        <w:t>DHA-B</w:t>
      </w:r>
      <w:r w:rsidRPr="00A92233">
        <w:rPr>
          <w:lang w:val="en-GB"/>
        </w:rPr>
        <w:t xml:space="preserve"> is comparable to that of other oils on the market and the differences are nutritionally insignificant because the maximum amount of </w:t>
      </w:r>
      <w:r w:rsidR="0017612B" w:rsidRPr="00A92233">
        <w:rPr>
          <w:lang w:val="en-GB"/>
        </w:rPr>
        <w:t>n-</w:t>
      </w:r>
      <w:r w:rsidRPr="00A92233">
        <w:rPr>
          <w:lang w:val="en-GB"/>
        </w:rPr>
        <w:t>3 LC</w:t>
      </w:r>
      <w:r w:rsidR="0017612B" w:rsidRPr="00A92233">
        <w:rPr>
          <w:lang w:val="en-GB"/>
        </w:rPr>
        <w:t>-</w:t>
      </w:r>
      <w:r w:rsidRPr="00A92233">
        <w:rPr>
          <w:lang w:val="en-GB"/>
        </w:rPr>
        <w:t xml:space="preserve">PUFA that can be added to </w:t>
      </w:r>
      <w:r w:rsidR="0045721E">
        <w:rPr>
          <w:lang w:val="en-GB"/>
        </w:rPr>
        <w:t>infant formula products</w:t>
      </w:r>
      <w:r w:rsidR="0045721E" w:rsidRPr="00A92233">
        <w:rPr>
          <w:lang w:val="en-GB"/>
        </w:rPr>
        <w:t xml:space="preserve"> </w:t>
      </w:r>
      <w:r w:rsidRPr="00A92233">
        <w:rPr>
          <w:lang w:val="en-GB"/>
        </w:rPr>
        <w:t>is less than 14 mg/100 kJ.</w:t>
      </w:r>
      <w:r w:rsidR="00440061" w:rsidRPr="00A92233">
        <w:rPr>
          <w:lang w:val="en-GB"/>
        </w:rPr>
        <w:t xml:space="preserve"> The DHA rich micro-algal oil products are comparable with respect to DHA.</w:t>
      </w:r>
    </w:p>
    <w:p w14:paraId="09F88407" w14:textId="70F85E34" w:rsidR="000C3BED" w:rsidRPr="00A92233" w:rsidRDefault="000C3BED" w:rsidP="00A54180">
      <w:pPr>
        <w:widowControl/>
        <w:rPr>
          <w:lang w:val="en-GB"/>
        </w:rPr>
      </w:pPr>
    </w:p>
    <w:p w14:paraId="0B17F2EC" w14:textId="621926B2" w:rsidR="000C3BED" w:rsidRPr="00A92233" w:rsidRDefault="000C3BED" w:rsidP="00A54180">
      <w:pPr>
        <w:widowControl/>
        <w:rPr>
          <w:lang w:val="en-GB" w:bidi="ar-SA"/>
        </w:rPr>
      </w:pPr>
      <w:r w:rsidRPr="00A92233">
        <w:rPr>
          <w:lang w:val="en-GB" w:bidi="ar-SA"/>
        </w:rPr>
        <w:t xml:space="preserve">There is no evidence to suggest that absorption, distribution, metabolism and excretion of </w:t>
      </w:r>
      <w:r w:rsidR="00FD7080" w:rsidRPr="00A92233">
        <w:rPr>
          <w:lang w:val="en-GB" w:bidi="ar-SA"/>
        </w:rPr>
        <w:t>DHA-B</w:t>
      </w:r>
      <w:r w:rsidRPr="00A92233">
        <w:rPr>
          <w:lang w:val="en-GB" w:bidi="ar-SA"/>
        </w:rPr>
        <w:t xml:space="preserve"> would be different to that of the other marine micro</w:t>
      </w:r>
      <w:r w:rsidR="0045057C" w:rsidRPr="00A92233">
        <w:rPr>
          <w:lang w:val="en-GB" w:bidi="ar-SA"/>
        </w:rPr>
        <w:t>-</w:t>
      </w:r>
      <w:r w:rsidRPr="00A92233">
        <w:rPr>
          <w:lang w:val="en-GB" w:bidi="ar-SA"/>
        </w:rPr>
        <w:t>algae oils.</w:t>
      </w:r>
      <w:r w:rsidR="00440061" w:rsidRPr="00A92233">
        <w:rPr>
          <w:lang w:val="en-GB" w:bidi="ar-SA"/>
        </w:rPr>
        <w:t xml:space="preserve"> </w:t>
      </w:r>
      <w:r w:rsidRPr="00A92233">
        <w:rPr>
          <w:lang w:val="en-GB" w:bidi="ar-SA"/>
        </w:rPr>
        <w:t>DHA</w:t>
      </w:r>
      <w:r w:rsidR="00D85B16" w:rsidRPr="00A92233">
        <w:rPr>
          <w:lang w:val="en-GB" w:bidi="ar-SA"/>
        </w:rPr>
        <w:t>-</w:t>
      </w:r>
      <w:r w:rsidRPr="00A92233">
        <w:rPr>
          <w:lang w:val="en-GB" w:bidi="ar-SA"/>
        </w:rPr>
        <w:t xml:space="preserve">B was found to be bioequivalent to </w:t>
      </w:r>
      <w:r w:rsidR="0017612B" w:rsidRPr="00A92233">
        <w:rPr>
          <w:lang w:val="en-GB" w:bidi="ar-SA"/>
        </w:rPr>
        <w:t xml:space="preserve">other DHA rich oils </w:t>
      </w:r>
      <w:r w:rsidRPr="00A92233">
        <w:rPr>
          <w:lang w:val="en-GB" w:bidi="ar-SA"/>
        </w:rPr>
        <w:t>in piglets and human infants.</w:t>
      </w:r>
    </w:p>
    <w:p w14:paraId="0B3EDDD1" w14:textId="73E19C45" w:rsidR="0088780D" w:rsidRPr="00A92233" w:rsidRDefault="0088780D" w:rsidP="00A54180">
      <w:pPr>
        <w:pStyle w:val="Heading1"/>
        <w:keepNext w:val="0"/>
        <w:widowControl/>
        <w:rPr>
          <w:lang w:val="en-GB"/>
        </w:rPr>
      </w:pPr>
      <w:bookmarkStart w:id="79" w:name="_Toc464129797"/>
      <w:r w:rsidRPr="00A92233">
        <w:rPr>
          <w:lang w:val="en-GB"/>
        </w:rPr>
        <w:t>5</w:t>
      </w:r>
      <w:r w:rsidRPr="00A92233">
        <w:rPr>
          <w:lang w:val="en-GB"/>
        </w:rPr>
        <w:tab/>
      </w:r>
      <w:r w:rsidR="00B20D0F" w:rsidRPr="00A92233">
        <w:rPr>
          <w:lang w:val="en-GB"/>
        </w:rPr>
        <w:t>Summary</w:t>
      </w:r>
      <w:bookmarkEnd w:id="79"/>
      <w:r w:rsidR="00B20D0F" w:rsidRPr="00A92233">
        <w:rPr>
          <w:lang w:val="en-GB"/>
        </w:rPr>
        <w:t xml:space="preserve"> </w:t>
      </w:r>
    </w:p>
    <w:p w14:paraId="7A3BC863" w14:textId="549A8507" w:rsidR="00C06F0F" w:rsidRPr="00A92233" w:rsidRDefault="00B20D0F" w:rsidP="00A54180">
      <w:pPr>
        <w:widowControl/>
        <w:rPr>
          <w:lang w:val="en-GB"/>
        </w:rPr>
      </w:pPr>
      <w:r w:rsidRPr="00A92233">
        <w:rPr>
          <w:lang w:val="en-GB" w:bidi="ar-SA"/>
        </w:rPr>
        <w:t xml:space="preserve">FSANZ has assessed the submitted evidence, as well as additional information in the scientific literature, to consider the equivalence of </w:t>
      </w:r>
      <w:r w:rsidR="00FD7080" w:rsidRPr="00A92233">
        <w:rPr>
          <w:lang w:val="en-GB"/>
        </w:rPr>
        <w:t>DHA-B</w:t>
      </w:r>
      <w:r w:rsidRPr="00A92233">
        <w:rPr>
          <w:lang w:val="en-GB" w:bidi="ar-SA"/>
        </w:rPr>
        <w:t xml:space="preserve"> </w:t>
      </w:r>
      <w:r w:rsidRPr="00A92233">
        <w:rPr>
          <w:lang w:val="en-GB" w:eastAsia="en-AU" w:bidi="ar-SA"/>
        </w:rPr>
        <w:t xml:space="preserve">as an additional, replacement or alternative DHA oil source for </w:t>
      </w:r>
      <w:r w:rsidR="0045721E">
        <w:rPr>
          <w:lang w:val="en-GB" w:eastAsia="en-AU" w:bidi="ar-SA"/>
        </w:rPr>
        <w:t>infant formula products</w:t>
      </w:r>
      <w:r w:rsidR="0045721E" w:rsidRPr="00A92233">
        <w:rPr>
          <w:lang w:val="en-GB" w:eastAsia="en-AU" w:bidi="ar-SA"/>
        </w:rPr>
        <w:t xml:space="preserve"> </w:t>
      </w:r>
      <w:r w:rsidRPr="00A92233">
        <w:rPr>
          <w:lang w:val="en-GB" w:eastAsia="en-AU" w:bidi="ar-SA"/>
        </w:rPr>
        <w:t xml:space="preserve">compared to other DHA-rich oils currently used. </w:t>
      </w:r>
      <w:r w:rsidR="00C06F0F" w:rsidRPr="00A92233">
        <w:rPr>
          <w:lang w:val="en-GB"/>
        </w:rPr>
        <w:t xml:space="preserve">The data from the available studies, taken together with the composition data do not indicate any </w:t>
      </w:r>
      <w:r w:rsidR="004136F4" w:rsidRPr="00A92233">
        <w:rPr>
          <w:lang w:val="en-GB"/>
        </w:rPr>
        <w:t>risk to infants when used in infant formula products within the current use levels</w:t>
      </w:r>
      <w:r w:rsidR="00C06F0F" w:rsidRPr="00A92233">
        <w:rPr>
          <w:lang w:val="en-GB"/>
        </w:rPr>
        <w:t>.</w:t>
      </w:r>
    </w:p>
    <w:p w14:paraId="57740BA5" w14:textId="2198D2BF" w:rsidR="00C9473A" w:rsidRPr="00A92233" w:rsidRDefault="00B20D0F" w:rsidP="00A92233">
      <w:pPr>
        <w:pStyle w:val="Heading1"/>
        <w:pageBreakBefore/>
        <w:rPr>
          <w:lang w:val="en-GB"/>
        </w:rPr>
      </w:pPr>
      <w:bookmarkStart w:id="80" w:name="_Toc457821696"/>
      <w:bookmarkStart w:id="81" w:name="_Toc464129798"/>
      <w:r w:rsidRPr="00A92233">
        <w:rPr>
          <w:lang w:val="en-GB"/>
        </w:rPr>
        <w:lastRenderedPageBreak/>
        <w:t>6</w:t>
      </w:r>
      <w:r w:rsidR="0001282A" w:rsidRPr="00A92233">
        <w:rPr>
          <w:lang w:val="en-GB"/>
        </w:rPr>
        <w:tab/>
      </w:r>
      <w:r w:rsidR="00C9473A" w:rsidRPr="00A92233">
        <w:rPr>
          <w:lang w:val="en-GB"/>
        </w:rPr>
        <w:t>References</w:t>
      </w:r>
      <w:bookmarkEnd w:id="80"/>
      <w:bookmarkEnd w:id="81"/>
    </w:p>
    <w:p w14:paraId="5F8789E8" w14:textId="3DC8D7D8" w:rsidR="00FE58D2" w:rsidRPr="00A92233" w:rsidRDefault="00736381" w:rsidP="00173FEF">
      <w:pPr>
        <w:rPr>
          <w:sz w:val="20"/>
          <w:szCs w:val="20"/>
          <w:lang w:val="en-GB"/>
        </w:rPr>
      </w:pPr>
      <w:bookmarkStart w:id="82" w:name="top"/>
      <w:bookmarkStart w:id="83" w:name="_Toc457821666"/>
      <w:bookmarkStart w:id="84" w:name="_Toc457821679"/>
      <w:bookmarkEnd w:id="82"/>
      <w:bookmarkEnd w:id="83"/>
      <w:bookmarkEnd w:id="84"/>
      <w:r w:rsidRPr="00A92233">
        <w:rPr>
          <w:sz w:val="20"/>
          <w:szCs w:val="20"/>
          <w:lang w:val="en-GB"/>
        </w:rPr>
        <w:t>Advisory Committee on Nov</w:t>
      </w:r>
      <w:r w:rsidR="006475DC" w:rsidRPr="00A92233">
        <w:rPr>
          <w:sz w:val="20"/>
          <w:szCs w:val="20"/>
          <w:lang w:val="en-GB"/>
        </w:rPr>
        <w:t>el Foods (ACNF) (2012). Reply f</w:t>
      </w:r>
      <w:r w:rsidRPr="00A92233">
        <w:rPr>
          <w:sz w:val="20"/>
          <w:szCs w:val="20"/>
          <w:lang w:val="en-GB"/>
        </w:rPr>
        <w:t>r</w:t>
      </w:r>
      <w:r w:rsidR="006475DC" w:rsidRPr="00A92233">
        <w:rPr>
          <w:sz w:val="20"/>
          <w:szCs w:val="20"/>
          <w:lang w:val="en-GB"/>
        </w:rPr>
        <w:t>o</w:t>
      </w:r>
      <w:r w:rsidRPr="00A92233">
        <w:rPr>
          <w:sz w:val="20"/>
          <w:szCs w:val="20"/>
          <w:lang w:val="en-GB"/>
        </w:rPr>
        <w:t>m Leigh Henderson to Dr Simon Brooke-Taylor. 31 October 2012.</w:t>
      </w:r>
    </w:p>
    <w:p w14:paraId="6D6DAF49" w14:textId="77777777" w:rsidR="00091EA9" w:rsidRPr="00A92233" w:rsidRDefault="00091EA9" w:rsidP="00173FEF">
      <w:pPr>
        <w:rPr>
          <w:sz w:val="20"/>
          <w:szCs w:val="20"/>
          <w:lang w:val="en-GB"/>
        </w:rPr>
      </w:pPr>
    </w:p>
    <w:p w14:paraId="3B7901AE" w14:textId="77777777" w:rsidR="00091EA9" w:rsidRPr="00A92233" w:rsidRDefault="00091EA9" w:rsidP="00091EA9">
      <w:pPr>
        <w:tabs>
          <w:tab w:val="left" w:pos="0"/>
        </w:tabs>
        <w:spacing w:after="240"/>
        <w:rPr>
          <w:rFonts w:cs="Arial"/>
          <w:noProof/>
          <w:sz w:val="20"/>
          <w:szCs w:val="20"/>
          <w:lang w:val="en-GB"/>
        </w:rPr>
      </w:pPr>
      <w:r w:rsidRPr="00A92233">
        <w:rPr>
          <w:rFonts w:cs="Arial"/>
          <w:noProof/>
          <w:sz w:val="20"/>
          <w:szCs w:val="20"/>
          <w:lang w:val="en-GB"/>
        </w:rPr>
        <w:t>Agostoni C (2008) Role of long-chain polyunsaturated fatty acids in the first year of life. J Pediatr Gastroenterol Nutr 47 Suppl 2:S41–S44</w:t>
      </w:r>
    </w:p>
    <w:p w14:paraId="7B025094" w14:textId="6C887630" w:rsidR="002051B9" w:rsidRPr="00A92233" w:rsidRDefault="002051B9" w:rsidP="002051B9">
      <w:pPr>
        <w:widowControl/>
        <w:rPr>
          <w:rFonts w:eastAsia="Calibri"/>
          <w:sz w:val="20"/>
          <w:szCs w:val="20"/>
          <w:lang w:val="en-GB"/>
        </w:rPr>
      </w:pPr>
      <w:r w:rsidRPr="00A92233">
        <w:rPr>
          <w:rFonts w:eastAsia="Calibri"/>
          <w:bCs/>
          <w:sz w:val="20"/>
          <w:szCs w:val="20"/>
          <w:lang w:val="en-GB"/>
        </w:rPr>
        <w:t xml:space="preserve">Anthony M (2012) Is Algae DHA as healthy as fish oil DHA?  </w:t>
      </w:r>
      <w:r w:rsidRPr="00A92233">
        <w:rPr>
          <w:sz w:val="20"/>
          <w:szCs w:val="20"/>
          <w:lang w:val="en-GB"/>
        </w:rPr>
        <w:t xml:space="preserve">available at: </w:t>
      </w:r>
      <w:hyperlink r:id="rId19" w:history="1">
        <w:r w:rsidR="00306822" w:rsidRPr="00A92233">
          <w:rPr>
            <w:rStyle w:val="Hyperlink"/>
            <w:lang w:val="en-GB"/>
          </w:rPr>
          <w:t>http://www.foodprocessing.com/articles/2012/algae-dha-healthy-as-fish-oil/</w:t>
        </w:r>
      </w:hyperlink>
      <w:r w:rsidR="00306822">
        <w:rPr>
          <w:rFonts w:eastAsia="Calibri"/>
          <w:sz w:val="20"/>
          <w:szCs w:val="20"/>
          <w:lang w:val="en-GB"/>
        </w:rPr>
        <w:t xml:space="preserve"> </w:t>
      </w:r>
    </w:p>
    <w:p w14:paraId="22DA2F0F" w14:textId="77777777" w:rsidR="002051B9" w:rsidRPr="00A92233" w:rsidRDefault="002051B9" w:rsidP="002051B9">
      <w:pPr>
        <w:widowControl/>
        <w:rPr>
          <w:rFonts w:eastAsia="Calibri"/>
          <w:bCs/>
          <w:sz w:val="20"/>
          <w:szCs w:val="20"/>
          <w:lang w:val="en-GB"/>
        </w:rPr>
      </w:pPr>
    </w:p>
    <w:p w14:paraId="5105024F" w14:textId="08F1B37B" w:rsidR="002051B9" w:rsidRPr="00A92233" w:rsidRDefault="002051B9" w:rsidP="002051B9">
      <w:pPr>
        <w:rPr>
          <w:sz w:val="20"/>
          <w:szCs w:val="20"/>
          <w:lang w:val="en-GB"/>
        </w:rPr>
      </w:pPr>
      <w:r w:rsidRPr="00A92233">
        <w:rPr>
          <w:rFonts w:eastAsia="Calibri"/>
          <w:sz w:val="20"/>
          <w:szCs w:val="20"/>
          <w:lang w:val="en-GB" w:bidi="ar-SA"/>
        </w:rPr>
        <w:t xml:space="preserve">Australia </w:t>
      </w:r>
      <w:r w:rsidRPr="00A92233">
        <w:rPr>
          <w:rFonts w:eastAsia="Calibri"/>
          <w:sz w:val="20"/>
          <w:szCs w:val="20"/>
          <w:lang w:val="en-GB"/>
        </w:rPr>
        <w:t xml:space="preserve">New Zealand Food Authority (ANZFA) (2001) Draft Assessment Report </w:t>
      </w:r>
      <w:r w:rsidRPr="00A92233">
        <w:rPr>
          <w:sz w:val="20"/>
          <w:szCs w:val="20"/>
          <w:lang w:val="en-GB"/>
        </w:rPr>
        <w:t xml:space="preserve">Application A428 </w:t>
      </w:r>
      <w:r w:rsidR="00306822">
        <w:rPr>
          <w:sz w:val="20"/>
          <w:szCs w:val="20"/>
          <w:lang w:val="en-GB"/>
        </w:rPr>
        <w:t>–</w:t>
      </w:r>
      <w:r w:rsidRPr="00A92233">
        <w:rPr>
          <w:sz w:val="20"/>
          <w:szCs w:val="20"/>
          <w:lang w:val="en-GB"/>
        </w:rPr>
        <w:t xml:space="preserve"> Marine </w:t>
      </w:r>
      <w:r w:rsidR="00306822">
        <w:rPr>
          <w:sz w:val="20"/>
          <w:szCs w:val="20"/>
          <w:lang w:val="en-GB"/>
        </w:rPr>
        <w:t>M</w:t>
      </w:r>
      <w:r w:rsidRPr="00A92233">
        <w:rPr>
          <w:sz w:val="20"/>
          <w:szCs w:val="20"/>
          <w:lang w:val="en-GB"/>
        </w:rPr>
        <w:t xml:space="preserve">icroalgae as a </w:t>
      </w:r>
      <w:r w:rsidR="00306822">
        <w:rPr>
          <w:sz w:val="20"/>
          <w:szCs w:val="20"/>
          <w:lang w:val="en-GB"/>
        </w:rPr>
        <w:t>N</w:t>
      </w:r>
      <w:r w:rsidRPr="00A92233">
        <w:rPr>
          <w:sz w:val="20"/>
          <w:szCs w:val="20"/>
          <w:lang w:val="en-GB"/>
        </w:rPr>
        <w:t xml:space="preserve">ovel </w:t>
      </w:r>
      <w:r w:rsidR="00306822">
        <w:rPr>
          <w:sz w:val="20"/>
          <w:szCs w:val="20"/>
          <w:lang w:val="en-GB"/>
        </w:rPr>
        <w:t>F</w:t>
      </w:r>
      <w:r w:rsidRPr="00A92233">
        <w:rPr>
          <w:sz w:val="20"/>
          <w:szCs w:val="20"/>
          <w:lang w:val="en-GB"/>
        </w:rPr>
        <w:t xml:space="preserve">ood, </w:t>
      </w:r>
      <w:r w:rsidRPr="00A92233">
        <w:rPr>
          <w:rFonts w:eastAsia="Calibri"/>
          <w:sz w:val="20"/>
          <w:szCs w:val="20"/>
          <w:lang w:val="en-GB" w:bidi="ar-SA"/>
        </w:rPr>
        <w:t xml:space="preserve">available at: </w:t>
      </w:r>
      <w:hyperlink r:id="rId20" w:history="1">
        <w:r w:rsidRPr="00A92233">
          <w:rPr>
            <w:rStyle w:val="Hyperlink"/>
            <w:sz w:val="20"/>
            <w:szCs w:val="20"/>
            <w:lang w:val="en-GB"/>
          </w:rPr>
          <w:t>http://www.foodstandards.gov.au/code/applications/documents/A428DA.pdf</w:t>
        </w:r>
      </w:hyperlink>
    </w:p>
    <w:p w14:paraId="483663DF" w14:textId="77777777" w:rsidR="002051B9" w:rsidRPr="00A92233" w:rsidRDefault="002051B9" w:rsidP="002051B9">
      <w:pPr>
        <w:rPr>
          <w:sz w:val="20"/>
          <w:szCs w:val="20"/>
          <w:lang w:val="en-GB"/>
        </w:rPr>
      </w:pPr>
    </w:p>
    <w:p w14:paraId="69A22D50" w14:textId="10FB37AB" w:rsidR="002051B9" w:rsidRPr="00A92233" w:rsidRDefault="002051B9" w:rsidP="002051B9">
      <w:pPr>
        <w:rPr>
          <w:rFonts w:eastAsia="Calibri"/>
          <w:sz w:val="20"/>
          <w:szCs w:val="20"/>
          <w:lang w:val="en-GB" w:bidi="ar-SA"/>
        </w:rPr>
      </w:pPr>
      <w:r w:rsidRPr="00A92233">
        <w:rPr>
          <w:sz w:val="20"/>
          <w:szCs w:val="20"/>
          <w:lang w:val="en-GB"/>
        </w:rPr>
        <w:t xml:space="preserve">ANZFA (2002) Supplementary Final Assessment Proposal P93 </w:t>
      </w:r>
      <w:r w:rsidR="00306822">
        <w:rPr>
          <w:sz w:val="20"/>
          <w:szCs w:val="20"/>
          <w:lang w:val="en-GB"/>
        </w:rPr>
        <w:t>–</w:t>
      </w:r>
      <w:r w:rsidRPr="00A92233">
        <w:rPr>
          <w:sz w:val="20"/>
          <w:szCs w:val="20"/>
          <w:lang w:val="en-GB"/>
        </w:rPr>
        <w:t xml:space="preserve"> Review of Infant Formula. </w:t>
      </w:r>
      <w:r w:rsidRPr="00A92233">
        <w:rPr>
          <w:rFonts w:eastAsia="Calibri"/>
          <w:sz w:val="20"/>
          <w:szCs w:val="20"/>
          <w:lang w:val="en-GB" w:bidi="ar-SA"/>
        </w:rPr>
        <w:t xml:space="preserve">available at: </w:t>
      </w:r>
      <w:hyperlink r:id="rId21" w:history="1">
        <w:r w:rsidR="00306822" w:rsidRPr="00A92233">
          <w:rPr>
            <w:rStyle w:val="Hyperlink"/>
            <w:rFonts w:eastAsia="Calibri"/>
            <w:lang w:val="en-GB"/>
          </w:rPr>
          <w:t>http://www.foodstandards.gov.au/code/proposals/Documents/P93_SuppFAR.pdf</w:t>
        </w:r>
      </w:hyperlink>
      <w:r w:rsidR="00306822">
        <w:rPr>
          <w:rFonts w:eastAsia="Calibri"/>
          <w:sz w:val="20"/>
          <w:szCs w:val="20"/>
          <w:lang w:val="en-GB" w:bidi="ar-SA"/>
        </w:rPr>
        <w:t xml:space="preserve"> </w:t>
      </w:r>
    </w:p>
    <w:p w14:paraId="769EA1A0" w14:textId="289DFFFE" w:rsidR="00736381" w:rsidRPr="00A92233" w:rsidRDefault="00736381" w:rsidP="00173FEF">
      <w:pPr>
        <w:rPr>
          <w:sz w:val="20"/>
          <w:szCs w:val="20"/>
          <w:lang w:val="en-GB"/>
        </w:rPr>
      </w:pPr>
    </w:p>
    <w:p w14:paraId="39F66AEE" w14:textId="04E37721" w:rsidR="008D3DE1" w:rsidRPr="00A92233" w:rsidRDefault="008D3DE1" w:rsidP="00173FEF">
      <w:pPr>
        <w:rPr>
          <w:sz w:val="20"/>
          <w:szCs w:val="20"/>
          <w:lang w:val="en-GB"/>
        </w:rPr>
      </w:pPr>
      <w:r w:rsidRPr="00A92233">
        <w:rPr>
          <w:rFonts w:cs="Arial"/>
          <w:noProof/>
          <w:sz w:val="20"/>
          <w:szCs w:val="20"/>
          <w:lang w:val="en-GB"/>
        </w:rPr>
        <w:t xml:space="preserve">ANZFA (1999) Proposal P93 – Review of Infant Formula, Inquiry Report. Report prepared by the Australia and New Zealand Food Authority, Canberra. </w:t>
      </w:r>
      <w:hyperlink r:id="rId22" w:history="1">
        <w:r w:rsidRPr="00A92233">
          <w:rPr>
            <w:rStyle w:val="Hyperlink"/>
            <w:rFonts w:cs="Arial"/>
            <w:noProof/>
            <w:sz w:val="20"/>
            <w:szCs w:val="20"/>
            <w:lang w:val="en-GB"/>
          </w:rPr>
          <w:t>http://www.foodstandards.gov.au/code/proposals/Pages/proposalp93reviewofinfantformula/Default.aspx</w:t>
        </w:r>
      </w:hyperlink>
    </w:p>
    <w:p w14:paraId="75109E29" w14:textId="77777777" w:rsidR="00106F8E" w:rsidRPr="00A92233" w:rsidRDefault="00106F8E" w:rsidP="00173FEF">
      <w:pPr>
        <w:rPr>
          <w:sz w:val="20"/>
          <w:szCs w:val="20"/>
          <w:lang w:val="en-GB"/>
        </w:rPr>
      </w:pPr>
    </w:p>
    <w:p w14:paraId="145E4E7D" w14:textId="77777777" w:rsidR="00091EA9" w:rsidRPr="00A92233" w:rsidRDefault="00091EA9" w:rsidP="00091EA9">
      <w:pPr>
        <w:rPr>
          <w:sz w:val="20"/>
          <w:szCs w:val="20"/>
          <w:lang w:val="en-GB"/>
        </w:rPr>
      </w:pPr>
      <w:r w:rsidRPr="00A92233">
        <w:rPr>
          <w:sz w:val="20"/>
          <w:szCs w:val="20"/>
          <w:lang w:val="en-GB"/>
        </w:rPr>
        <w:t>Auestad N, Montalto MB, Hall RT (1997) Visual acuity, erythrocyte fatty acid composition and growth in term fed infants fed formulas with long chain polyunsaturated fatty acids for one year. Ross Pediatric Lipid Study. Pediatr Res. 41(1):1</w:t>
      </w:r>
      <w:r w:rsidRPr="00A92233">
        <w:rPr>
          <w:rFonts w:cs="Arial"/>
          <w:noProof/>
          <w:sz w:val="20"/>
          <w:szCs w:val="20"/>
          <w:lang w:val="en-GB"/>
        </w:rPr>
        <w:t>–</w:t>
      </w:r>
      <w:r w:rsidRPr="00A92233">
        <w:rPr>
          <w:sz w:val="20"/>
          <w:szCs w:val="20"/>
          <w:lang w:val="en-GB"/>
        </w:rPr>
        <w:t>10</w:t>
      </w:r>
    </w:p>
    <w:p w14:paraId="00F5D7C6" w14:textId="77777777" w:rsidR="00091EA9" w:rsidRPr="00A92233" w:rsidRDefault="00091EA9" w:rsidP="00091EA9">
      <w:pPr>
        <w:rPr>
          <w:sz w:val="20"/>
          <w:szCs w:val="20"/>
          <w:lang w:val="en-GB"/>
        </w:rPr>
      </w:pPr>
    </w:p>
    <w:p w14:paraId="7263698B" w14:textId="77777777" w:rsidR="00091EA9" w:rsidRPr="00A92233" w:rsidRDefault="00091EA9" w:rsidP="00091EA9">
      <w:pPr>
        <w:rPr>
          <w:sz w:val="20"/>
          <w:szCs w:val="20"/>
          <w:lang w:val="en-GB"/>
        </w:rPr>
      </w:pPr>
      <w:r w:rsidRPr="00A92233">
        <w:rPr>
          <w:sz w:val="20"/>
          <w:szCs w:val="20"/>
          <w:lang w:val="en-GB"/>
        </w:rPr>
        <w:t>Auestad N, Halter R, Hall RT, Blatter M, Bogle ML, Burks W, Wesley E, Erickson JR, Fitzgerald KM, Dobson V, Innis SM, Singer LT, Montalto MB, Jacobs JR, Qiu W, Bornstein, Marc H (2001) Growth and Development in infants fed long-chain polyunsaturated fatty acids: a double-masked, randomized, parallel, prospective, multivariate study. Pediatrics 108:372</w:t>
      </w:r>
      <w:r w:rsidRPr="00A92233">
        <w:rPr>
          <w:rFonts w:cs="Arial"/>
          <w:noProof/>
          <w:sz w:val="20"/>
          <w:szCs w:val="20"/>
          <w:lang w:val="en-GB"/>
        </w:rPr>
        <w:t>–</w:t>
      </w:r>
      <w:r w:rsidRPr="00A92233">
        <w:rPr>
          <w:sz w:val="20"/>
          <w:szCs w:val="20"/>
          <w:lang w:val="en-GB"/>
        </w:rPr>
        <w:t>381.</w:t>
      </w:r>
    </w:p>
    <w:p w14:paraId="6AD4F68D" w14:textId="77777777" w:rsidR="00091EA9" w:rsidRPr="00A92233" w:rsidRDefault="00091EA9" w:rsidP="00091EA9">
      <w:pPr>
        <w:rPr>
          <w:sz w:val="20"/>
          <w:szCs w:val="20"/>
          <w:lang w:val="en-GB"/>
        </w:rPr>
      </w:pPr>
    </w:p>
    <w:p w14:paraId="07036A99" w14:textId="77777777" w:rsidR="00091EA9" w:rsidRPr="00A92233" w:rsidRDefault="00091EA9" w:rsidP="00091EA9">
      <w:pPr>
        <w:rPr>
          <w:sz w:val="20"/>
          <w:szCs w:val="20"/>
          <w:lang w:val="en-GB"/>
        </w:rPr>
      </w:pPr>
      <w:r w:rsidRPr="00A92233">
        <w:rPr>
          <w:sz w:val="20"/>
          <w:szCs w:val="20"/>
          <w:lang w:val="en-GB"/>
        </w:rPr>
        <w:t>Auestad N, Scott DT, Janowsky JS (2003) Visual, cognitive and language assessments at 39 montyhs: a follow-up study of children fed formulas containing long-chain polyunsaturated fatty acids to 1 year of age. Paediatrics. 112(3):e177</w:t>
      </w:r>
      <w:r w:rsidRPr="00A92233">
        <w:rPr>
          <w:rFonts w:cs="Arial"/>
          <w:noProof/>
          <w:sz w:val="20"/>
          <w:szCs w:val="20"/>
          <w:lang w:val="en-GB"/>
        </w:rPr>
        <w:t>–183.</w:t>
      </w:r>
    </w:p>
    <w:p w14:paraId="7AAF67FE" w14:textId="77777777" w:rsidR="00091EA9" w:rsidRPr="00A92233" w:rsidRDefault="00091EA9" w:rsidP="00173FEF">
      <w:pPr>
        <w:rPr>
          <w:sz w:val="20"/>
          <w:szCs w:val="20"/>
          <w:lang w:val="en-GB"/>
        </w:rPr>
      </w:pPr>
    </w:p>
    <w:p w14:paraId="5A98BFE1" w14:textId="28946446" w:rsidR="00086BE1" w:rsidRPr="00A92233" w:rsidRDefault="00086BE1" w:rsidP="00086BE1">
      <w:pPr>
        <w:rPr>
          <w:sz w:val="20"/>
          <w:szCs w:val="20"/>
          <w:lang w:val="en-GB"/>
        </w:rPr>
      </w:pPr>
      <w:r w:rsidRPr="00A92233">
        <w:rPr>
          <w:sz w:val="20"/>
          <w:szCs w:val="20"/>
          <w:lang w:val="en-GB"/>
        </w:rPr>
        <w:t xml:space="preserve">Bauter MR, </w:t>
      </w:r>
      <w:r w:rsidRPr="00A92233">
        <w:rPr>
          <w:i/>
          <w:sz w:val="20"/>
          <w:szCs w:val="20"/>
          <w:lang w:val="en-GB"/>
        </w:rPr>
        <w:t>et al.</w:t>
      </w:r>
      <w:r w:rsidRPr="00A92233">
        <w:rPr>
          <w:sz w:val="20"/>
          <w:szCs w:val="20"/>
          <w:lang w:val="en-GB"/>
        </w:rPr>
        <w:t xml:space="preserve"> (2013) DHASCO-B: A 90-Day Dietary Study in rats preceded by an </w:t>
      </w:r>
      <w:r w:rsidRPr="00A92233">
        <w:rPr>
          <w:i/>
          <w:sz w:val="20"/>
          <w:szCs w:val="20"/>
          <w:lang w:val="en-GB"/>
        </w:rPr>
        <w:t>in utero</w:t>
      </w:r>
      <w:r w:rsidRPr="00A92233">
        <w:rPr>
          <w:sz w:val="20"/>
          <w:szCs w:val="20"/>
          <w:lang w:val="en-GB"/>
        </w:rPr>
        <w:t xml:space="preserve"> exposure phase. Product Safety Labs Study Number 33810/Sponsor Study Number 2012-9038. Unpublished. February 15, 2013.</w:t>
      </w:r>
    </w:p>
    <w:p w14:paraId="3105EE82" w14:textId="77777777" w:rsidR="00086BE1" w:rsidRPr="00A92233" w:rsidRDefault="00086BE1" w:rsidP="00086BE1">
      <w:pPr>
        <w:rPr>
          <w:sz w:val="20"/>
          <w:szCs w:val="20"/>
          <w:lang w:val="en-GB"/>
        </w:rPr>
      </w:pPr>
    </w:p>
    <w:p w14:paraId="3931EA55" w14:textId="77777777" w:rsidR="002E1E56" w:rsidRPr="00A92233" w:rsidRDefault="002E1E56" w:rsidP="002E1E56">
      <w:pPr>
        <w:rPr>
          <w:sz w:val="20"/>
          <w:lang w:val="en-GB"/>
        </w:rPr>
      </w:pPr>
      <w:r w:rsidRPr="00A92233">
        <w:rPr>
          <w:sz w:val="20"/>
          <w:lang w:val="en-GB"/>
        </w:rPr>
        <w:t>Ben Y ZX, Zhao W, Yu W. (2004). Growth and development of term infants fed with milk with</w:t>
      </w:r>
    </w:p>
    <w:p w14:paraId="4AF796FF" w14:textId="77777777" w:rsidR="002E1E56" w:rsidRPr="00A92233" w:rsidRDefault="002E1E56" w:rsidP="002E1E56">
      <w:pPr>
        <w:rPr>
          <w:sz w:val="20"/>
          <w:lang w:val="en-GB"/>
        </w:rPr>
      </w:pPr>
      <w:r w:rsidRPr="00A92233">
        <w:rPr>
          <w:sz w:val="20"/>
          <w:lang w:val="en-GB"/>
        </w:rPr>
        <w:t>long-chain polyunsaturated fatty acid supplementation. Chinese Medical Journal. 117(8):1268-</w:t>
      </w:r>
    </w:p>
    <w:p w14:paraId="00B747D4" w14:textId="51C63196" w:rsidR="002E1E56" w:rsidRPr="00A92233" w:rsidRDefault="002E1E56" w:rsidP="002E1E56">
      <w:pPr>
        <w:rPr>
          <w:sz w:val="20"/>
          <w:lang w:val="en-GB"/>
        </w:rPr>
      </w:pPr>
      <w:r w:rsidRPr="00A92233">
        <w:rPr>
          <w:sz w:val="20"/>
          <w:lang w:val="en-GB"/>
        </w:rPr>
        <w:t>1270</w:t>
      </w:r>
    </w:p>
    <w:p w14:paraId="4027CBE7" w14:textId="77777777" w:rsidR="002E1E56" w:rsidRPr="00A92233" w:rsidRDefault="002E1E56" w:rsidP="002E1E56">
      <w:pPr>
        <w:rPr>
          <w:sz w:val="20"/>
          <w:lang w:val="en-GB"/>
        </w:rPr>
      </w:pPr>
    </w:p>
    <w:p w14:paraId="4B9BCDEA" w14:textId="2B6BE046" w:rsidR="00086BE1" w:rsidRPr="00A92233" w:rsidRDefault="00086BE1" w:rsidP="00086BE1">
      <w:pPr>
        <w:rPr>
          <w:sz w:val="20"/>
          <w:szCs w:val="20"/>
          <w:lang w:val="en-GB"/>
        </w:rPr>
      </w:pPr>
      <w:r w:rsidRPr="00A92233">
        <w:rPr>
          <w:sz w:val="20"/>
          <w:szCs w:val="20"/>
          <w:lang w:val="en-GB"/>
        </w:rPr>
        <w:t>Bioservice Scientific Laboratories GmbH. (2010a) Reverse Mutation Assay Using Bacteria</w:t>
      </w:r>
    </w:p>
    <w:p w14:paraId="333757EF" w14:textId="2B201A20" w:rsidR="00086BE1" w:rsidRPr="00A92233" w:rsidRDefault="00086BE1" w:rsidP="00086BE1">
      <w:pPr>
        <w:rPr>
          <w:sz w:val="20"/>
          <w:szCs w:val="20"/>
          <w:lang w:val="en-GB"/>
        </w:rPr>
      </w:pPr>
      <w:r w:rsidRPr="00A92233">
        <w:rPr>
          <w:sz w:val="20"/>
          <w:szCs w:val="20"/>
          <w:lang w:val="en-GB"/>
        </w:rPr>
        <w:t xml:space="preserve">(Salmonella typhimurium and Escherichia coli) With DHA </w:t>
      </w:r>
      <w:r w:rsidR="00A11242" w:rsidRPr="00A92233">
        <w:rPr>
          <w:sz w:val="20"/>
          <w:szCs w:val="20"/>
          <w:lang w:val="en-GB"/>
        </w:rPr>
        <w:t>a</w:t>
      </w:r>
      <w:r w:rsidRPr="00A92233">
        <w:rPr>
          <w:sz w:val="20"/>
          <w:szCs w:val="20"/>
          <w:lang w:val="en-GB"/>
        </w:rPr>
        <w:t xml:space="preserve">lgal </w:t>
      </w:r>
      <w:r w:rsidR="00A11242" w:rsidRPr="00A92233">
        <w:rPr>
          <w:sz w:val="20"/>
          <w:szCs w:val="20"/>
          <w:lang w:val="en-GB"/>
        </w:rPr>
        <w:t>o</w:t>
      </w:r>
      <w:r w:rsidRPr="00A92233">
        <w:rPr>
          <w:sz w:val="20"/>
          <w:szCs w:val="20"/>
          <w:lang w:val="en-GB"/>
        </w:rPr>
        <w:t>il: (BSL Bioservice Study No: 101021). Prepared by Bioservice Scientific Laboratories GmbBH, Planegg, Germany for Martek Biosciences Corporation, Columbia, MD; [unpublished].</w:t>
      </w:r>
    </w:p>
    <w:p w14:paraId="6D354210" w14:textId="77777777" w:rsidR="00086BE1" w:rsidRPr="00A92233" w:rsidRDefault="00086BE1" w:rsidP="00086BE1">
      <w:pPr>
        <w:rPr>
          <w:sz w:val="20"/>
          <w:szCs w:val="20"/>
          <w:lang w:val="en-GB"/>
        </w:rPr>
      </w:pPr>
    </w:p>
    <w:p w14:paraId="2F3462A3" w14:textId="507281A6" w:rsidR="00086BE1" w:rsidRPr="00A92233" w:rsidRDefault="00086BE1" w:rsidP="00A55CC0">
      <w:pPr>
        <w:keepNext/>
        <w:keepLines/>
        <w:rPr>
          <w:sz w:val="20"/>
          <w:szCs w:val="20"/>
          <w:lang w:val="en-GB"/>
        </w:rPr>
      </w:pPr>
      <w:r w:rsidRPr="00A92233">
        <w:rPr>
          <w:sz w:val="20"/>
          <w:szCs w:val="20"/>
          <w:lang w:val="en-GB"/>
        </w:rPr>
        <w:t xml:space="preserve">Bioservice Scientific Laboratories GmbH. (2010b) In vitro Mammalian Chromosome Aberration Test in Human Lymphocytes With </w:t>
      </w:r>
      <w:r w:rsidR="00A11242" w:rsidRPr="00A92233">
        <w:rPr>
          <w:sz w:val="20"/>
          <w:szCs w:val="20"/>
          <w:lang w:val="en-GB"/>
        </w:rPr>
        <w:t>a</w:t>
      </w:r>
      <w:r w:rsidRPr="00A92233">
        <w:rPr>
          <w:sz w:val="20"/>
          <w:szCs w:val="20"/>
          <w:lang w:val="en-GB"/>
        </w:rPr>
        <w:t xml:space="preserve">lgal </w:t>
      </w:r>
      <w:r w:rsidR="00A11242" w:rsidRPr="00A92233">
        <w:rPr>
          <w:sz w:val="20"/>
          <w:szCs w:val="20"/>
          <w:lang w:val="en-GB"/>
        </w:rPr>
        <w:t>o</w:t>
      </w:r>
      <w:r w:rsidRPr="00A92233">
        <w:rPr>
          <w:sz w:val="20"/>
          <w:szCs w:val="20"/>
          <w:lang w:val="en-GB"/>
        </w:rPr>
        <w:t>il Rich in DHA from Schizochytrium sp: (BSL Bioservice Study No: 101022). Prepared by Bioservice Scientific Laboratories GmbBH, Planegg,Germany for Martek Biosciences Corporation, Columbia, MD; 2010b; [unpublished].</w:t>
      </w:r>
    </w:p>
    <w:p w14:paraId="07B8E6C1" w14:textId="77777777" w:rsidR="00086BE1" w:rsidRPr="00A92233" w:rsidRDefault="00086BE1" w:rsidP="00086BE1">
      <w:pPr>
        <w:rPr>
          <w:sz w:val="20"/>
          <w:szCs w:val="20"/>
          <w:lang w:val="en-GB"/>
        </w:rPr>
      </w:pPr>
    </w:p>
    <w:p w14:paraId="5B791DED" w14:textId="2E99F847" w:rsidR="00086BE1" w:rsidRPr="00A92233" w:rsidRDefault="00086BE1" w:rsidP="00BE3399">
      <w:pPr>
        <w:rPr>
          <w:sz w:val="20"/>
          <w:szCs w:val="20"/>
          <w:lang w:val="en-GB"/>
        </w:rPr>
      </w:pPr>
      <w:r w:rsidRPr="00A92233">
        <w:rPr>
          <w:sz w:val="20"/>
          <w:szCs w:val="20"/>
          <w:lang w:val="en-GB"/>
        </w:rPr>
        <w:t>Bioservice Scientific Laboratories GmbH. (2010c) Mammalian Micronucleus Test of Murine</w:t>
      </w:r>
    </w:p>
    <w:p w14:paraId="507E068E" w14:textId="77777777" w:rsidR="00086BE1" w:rsidRPr="00A92233" w:rsidRDefault="00086BE1" w:rsidP="00BE3399">
      <w:pPr>
        <w:rPr>
          <w:sz w:val="20"/>
          <w:szCs w:val="20"/>
          <w:lang w:val="en-GB"/>
        </w:rPr>
      </w:pPr>
      <w:r w:rsidRPr="00A92233">
        <w:rPr>
          <w:sz w:val="20"/>
          <w:szCs w:val="20"/>
          <w:lang w:val="en-GB"/>
        </w:rPr>
        <w:t>Peripheral Blood Cells With DHA Algal Oil: (BSL Bioservice Study No: 101023). Prepared by</w:t>
      </w:r>
    </w:p>
    <w:p w14:paraId="68F81336" w14:textId="77777777" w:rsidR="00C04F3F" w:rsidRPr="00A92233" w:rsidRDefault="00C04F3F" w:rsidP="00BE3399">
      <w:pPr>
        <w:rPr>
          <w:sz w:val="20"/>
          <w:szCs w:val="20"/>
          <w:lang w:val="en-GB"/>
        </w:rPr>
      </w:pPr>
    </w:p>
    <w:p w14:paraId="0273C06C" w14:textId="77777777" w:rsidR="00BE3399" w:rsidRDefault="00BE3399" w:rsidP="00BE3399">
      <w:pPr>
        <w:rPr>
          <w:sz w:val="20"/>
          <w:szCs w:val="20"/>
          <w:lang w:val="en-GB"/>
        </w:rPr>
      </w:pPr>
      <w:r>
        <w:rPr>
          <w:sz w:val="20"/>
          <w:szCs w:val="20"/>
          <w:lang w:val="en-GB"/>
        </w:rPr>
        <w:br w:type="page"/>
      </w:r>
    </w:p>
    <w:p w14:paraId="0DCE604A" w14:textId="07A5E5F6" w:rsidR="00086BE1" w:rsidRPr="00A92233" w:rsidRDefault="00086BE1" w:rsidP="00BE3399">
      <w:pPr>
        <w:rPr>
          <w:sz w:val="20"/>
          <w:szCs w:val="20"/>
          <w:lang w:val="en-GB"/>
        </w:rPr>
      </w:pPr>
      <w:r w:rsidRPr="00A92233">
        <w:rPr>
          <w:sz w:val="20"/>
          <w:szCs w:val="20"/>
          <w:lang w:val="en-GB"/>
        </w:rPr>
        <w:lastRenderedPageBreak/>
        <w:t>Bioservice Scientific Laboratories GmbBH, Planegg, Germany for Martek Biosciences</w:t>
      </w:r>
    </w:p>
    <w:p w14:paraId="41509D2C" w14:textId="77777777" w:rsidR="00086BE1" w:rsidRPr="00A92233" w:rsidRDefault="00086BE1" w:rsidP="00BE3399">
      <w:pPr>
        <w:rPr>
          <w:sz w:val="20"/>
          <w:szCs w:val="20"/>
          <w:lang w:val="en-GB"/>
        </w:rPr>
      </w:pPr>
      <w:r w:rsidRPr="00A92233">
        <w:rPr>
          <w:sz w:val="20"/>
          <w:szCs w:val="20"/>
          <w:lang w:val="en-GB"/>
        </w:rPr>
        <w:t>Corporation, Columbia, MD; [unpublished].</w:t>
      </w:r>
    </w:p>
    <w:p w14:paraId="4CAA73DB" w14:textId="77777777" w:rsidR="00086BE1" w:rsidRPr="00A92233" w:rsidRDefault="00086BE1" w:rsidP="00086BE1">
      <w:pPr>
        <w:rPr>
          <w:sz w:val="20"/>
          <w:szCs w:val="20"/>
          <w:lang w:val="en-GB"/>
        </w:rPr>
      </w:pPr>
    </w:p>
    <w:p w14:paraId="422B6E5A" w14:textId="71BC5336" w:rsidR="00086BE1" w:rsidRPr="00A92233" w:rsidRDefault="00086BE1" w:rsidP="00086BE1">
      <w:pPr>
        <w:rPr>
          <w:sz w:val="20"/>
          <w:szCs w:val="20"/>
          <w:lang w:val="en-GB"/>
        </w:rPr>
      </w:pPr>
      <w:r w:rsidRPr="00A92233">
        <w:rPr>
          <w:sz w:val="20"/>
          <w:szCs w:val="20"/>
          <w:lang w:val="en-GB"/>
        </w:rPr>
        <w:t>Bioservice Scientific Laboratories GmbH. (2011a) Reverse mutation assay using bacteria</w:t>
      </w:r>
    </w:p>
    <w:p w14:paraId="17354BB7" w14:textId="574A3C94" w:rsidR="00086BE1" w:rsidRPr="00A92233" w:rsidRDefault="00086BE1" w:rsidP="00086BE1">
      <w:pPr>
        <w:rPr>
          <w:sz w:val="20"/>
          <w:szCs w:val="20"/>
          <w:lang w:val="en-GB"/>
        </w:rPr>
      </w:pPr>
      <w:r w:rsidRPr="00A92233">
        <w:rPr>
          <w:sz w:val="20"/>
          <w:szCs w:val="20"/>
          <w:lang w:val="en-GB"/>
        </w:rPr>
        <w:t>(Salmonella typhimurium and Escherichia coli) with DHASCO-B. BSL Bioservice Study No.:</w:t>
      </w:r>
    </w:p>
    <w:p w14:paraId="72A656DC" w14:textId="77777777" w:rsidR="00086BE1" w:rsidRPr="00A92233" w:rsidRDefault="00086BE1" w:rsidP="00086BE1">
      <w:pPr>
        <w:rPr>
          <w:sz w:val="20"/>
          <w:szCs w:val="20"/>
          <w:lang w:val="en-GB"/>
        </w:rPr>
      </w:pPr>
      <w:r w:rsidRPr="00A92233">
        <w:rPr>
          <w:sz w:val="20"/>
          <w:szCs w:val="20"/>
          <w:lang w:val="en-GB"/>
        </w:rPr>
        <w:t>105886. Unpublished. February 07, 2011.</w:t>
      </w:r>
    </w:p>
    <w:p w14:paraId="725F3CA4" w14:textId="77777777" w:rsidR="00086BE1" w:rsidRPr="00A92233" w:rsidRDefault="00086BE1" w:rsidP="00086BE1">
      <w:pPr>
        <w:rPr>
          <w:sz w:val="20"/>
          <w:szCs w:val="20"/>
          <w:lang w:val="en-GB"/>
        </w:rPr>
      </w:pPr>
    </w:p>
    <w:p w14:paraId="4AA65032" w14:textId="4A26CEC6" w:rsidR="00086BE1" w:rsidRPr="00A92233" w:rsidRDefault="00086BE1" w:rsidP="00086BE1">
      <w:pPr>
        <w:rPr>
          <w:sz w:val="20"/>
          <w:szCs w:val="20"/>
          <w:lang w:val="en-GB"/>
        </w:rPr>
      </w:pPr>
      <w:r w:rsidRPr="00A92233">
        <w:rPr>
          <w:sz w:val="20"/>
          <w:szCs w:val="20"/>
          <w:lang w:val="en-GB"/>
        </w:rPr>
        <w:t xml:space="preserve">Bioservice Scientific Laboratories GmbH. (2011b) </w:t>
      </w:r>
      <w:r w:rsidRPr="00A92233">
        <w:rPr>
          <w:i/>
          <w:sz w:val="20"/>
          <w:szCs w:val="20"/>
          <w:lang w:val="en-GB"/>
        </w:rPr>
        <w:t>In vitro</w:t>
      </w:r>
      <w:r w:rsidRPr="00A92233">
        <w:rPr>
          <w:sz w:val="20"/>
          <w:szCs w:val="20"/>
          <w:lang w:val="en-GB"/>
        </w:rPr>
        <w:t xml:space="preserve"> Mammalian chromosome aberration test in human lymphocytes with DHASCO-B. BSL Bioservice Study No.: 105887. Unpublished.May 30, 2011.</w:t>
      </w:r>
    </w:p>
    <w:p w14:paraId="695F684D" w14:textId="77777777" w:rsidR="00086BE1" w:rsidRPr="00A92233" w:rsidRDefault="00086BE1" w:rsidP="00086BE1">
      <w:pPr>
        <w:rPr>
          <w:sz w:val="20"/>
          <w:szCs w:val="20"/>
          <w:lang w:val="en-GB"/>
        </w:rPr>
      </w:pPr>
    </w:p>
    <w:p w14:paraId="0C313F85" w14:textId="0BF7D3A0" w:rsidR="00086BE1" w:rsidRPr="00A92233" w:rsidRDefault="00086BE1" w:rsidP="00086BE1">
      <w:pPr>
        <w:rPr>
          <w:sz w:val="20"/>
          <w:szCs w:val="20"/>
          <w:lang w:val="en-GB"/>
        </w:rPr>
      </w:pPr>
      <w:r w:rsidRPr="00A92233">
        <w:rPr>
          <w:sz w:val="20"/>
          <w:szCs w:val="20"/>
          <w:lang w:val="en-GB"/>
        </w:rPr>
        <w:t>Bioservice Scientific Laboratories GmbH. (2011c) Mammalian Micronucleus test of murine</w:t>
      </w:r>
    </w:p>
    <w:p w14:paraId="585E9A38" w14:textId="77777777" w:rsidR="00086BE1" w:rsidRPr="00A92233" w:rsidRDefault="00086BE1" w:rsidP="00086BE1">
      <w:pPr>
        <w:rPr>
          <w:sz w:val="20"/>
          <w:szCs w:val="20"/>
          <w:lang w:val="en-GB"/>
        </w:rPr>
      </w:pPr>
      <w:r w:rsidRPr="00A92233">
        <w:rPr>
          <w:sz w:val="20"/>
          <w:szCs w:val="20"/>
          <w:lang w:val="en-GB"/>
        </w:rPr>
        <w:t>peripheral blood cells. BSL Bioservice Study No.: 105888. Unpublished. March 07, 2011.</w:t>
      </w:r>
    </w:p>
    <w:p w14:paraId="404F4C6E" w14:textId="77777777" w:rsidR="00086BE1" w:rsidRPr="00A92233" w:rsidRDefault="00086BE1" w:rsidP="00086BE1">
      <w:pPr>
        <w:widowControl/>
        <w:rPr>
          <w:rFonts w:eastAsia="Calibri"/>
          <w:sz w:val="20"/>
          <w:szCs w:val="20"/>
          <w:lang w:val="en-GB" w:bidi="ar-SA"/>
        </w:rPr>
      </w:pPr>
    </w:p>
    <w:p w14:paraId="5D360BBD" w14:textId="77777777" w:rsidR="0005701D" w:rsidRPr="00A92233" w:rsidRDefault="0005701D" w:rsidP="0005701D">
      <w:pPr>
        <w:tabs>
          <w:tab w:val="left" w:pos="0"/>
        </w:tabs>
        <w:spacing w:after="240"/>
        <w:rPr>
          <w:rFonts w:cs="Arial"/>
          <w:noProof/>
          <w:sz w:val="20"/>
          <w:szCs w:val="20"/>
          <w:lang w:val="en-GB"/>
        </w:rPr>
      </w:pPr>
      <w:r w:rsidRPr="00A92233">
        <w:rPr>
          <w:rFonts w:cs="Arial"/>
          <w:noProof/>
          <w:sz w:val="20"/>
          <w:szCs w:val="20"/>
          <w:lang w:val="en-GB"/>
        </w:rPr>
        <w:t>Brenna JT, Varamini B, Jensen RG, Diersen-Schade DA, Boettcher JA, Arterburn LM (2007) Docosahexaenoic and arachidonic acid concentrations in human breast milk worldwide. Am J Clin Nutr 85(6):1457–1464.</w:t>
      </w:r>
    </w:p>
    <w:p w14:paraId="3CBB0023" w14:textId="77777777" w:rsidR="00083BA9" w:rsidRPr="00A92233" w:rsidRDefault="00083BA9" w:rsidP="00083BA9">
      <w:pPr>
        <w:rPr>
          <w:sz w:val="20"/>
          <w:szCs w:val="20"/>
          <w:lang w:val="en-GB"/>
        </w:rPr>
      </w:pPr>
      <w:r w:rsidRPr="00A92233">
        <w:rPr>
          <w:sz w:val="20"/>
          <w:szCs w:val="20"/>
          <w:lang w:val="en-GB"/>
        </w:rPr>
        <w:t>Clandinin MT, Van Aerde JE, Merkel KL, Harris CL, Springer MA, Hansen JW, Diersen-Schade DA (2005) Growth and development of preterm infants fed infant formulas containing docosahexaenoic acid and arachidonic acid. J Pediatr. 146(4):461</w:t>
      </w:r>
      <w:r w:rsidRPr="00A92233">
        <w:rPr>
          <w:rFonts w:cs="Arial"/>
          <w:noProof/>
          <w:sz w:val="20"/>
          <w:szCs w:val="20"/>
          <w:lang w:val="en-GB"/>
        </w:rPr>
        <w:t>–468.</w:t>
      </w:r>
    </w:p>
    <w:p w14:paraId="03525F6A" w14:textId="77777777" w:rsidR="00091EA9" w:rsidRPr="00A92233" w:rsidRDefault="00091EA9" w:rsidP="00173FEF">
      <w:pPr>
        <w:rPr>
          <w:sz w:val="20"/>
          <w:szCs w:val="20"/>
          <w:lang w:val="en-GB"/>
        </w:rPr>
      </w:pPr>
    </w:p>
    <w:p w14:paraId="447B169A" w14:textId="77777777" w:rsidR="00E04033" w:rsidRPr="00A92233" w:rsidRDefault="00E04033" w:rsidP="00E04033">
      <w:pPr>
        <w:rPr>
          <w:sz w:val="20"/>
          <w:szCs w:val="20"/>
          <w:lang w:val="en-GB"/>
        </w:rPr>
      </w:pPr>
      <w:r w:rsidRPr="00A92233">
        <w:rPr>
          <w:sz w:val="20"/>
          <w:szCs w:val="20"/>
          <w:lang w:val="en-GB"/>
        </w:rPr>
        <w:t>Carnielli VP, Wattimena DJ, Luijendijk IH, Boerlage A, Degenhart HJ, Sauer PJ (1996) The very low birth weight premature infant is capable of synthesising arachidonic and docosahexaenoic acids from linoleic and linolenic acids. Pediatr Res 40(1):169</w:t>
      </w:r>
      <w:r w:rsidRPr="00A92233">
        <w:rPr>
          <w:rFonts w:cs="Arial"/>
          <w:noProof/>
          <w:sz w:val="20"/>
          <w:szCs w:val="20"/>
          <w:lang w:val="en-GB"/>
        </w:rPr>
        <w:t>–174.</w:t>
      </w:r>
    </w:p>
    <w:p w14:paraId="6934D154" w14:textId="77777777" w:rsidR="00083BA9" w:rsidRPr="00A92233" w:rsidRDefault="00083BA9" w:rsidP="00173FEF">
      <w:pPr>
        <w:rPr>
          <w:sz w:val="20"/>
          <w:szCs w:val="20"/>
          <w:lang w:val="en-GB"/>
        </w:rPr>
      </w:pPr>
    </w:p>
    <w:p w14:paraId="640419C4" w14:textId="0EAAE711"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 xml:space="preserve">Calder PC (2014) Very long chain omega-3 (n-3) fatty acids and human health. </w:t>
      </w:r>
      <w:r w:rsidRPr="00A92233">
        <w:rPr>
          <w:rFonts w:eastAsia="Calibri"/>
          <w:i/>
          <w:sz w:val="20"/>
          <w:szCs w:val="20"/>
          <w:lang w:val="en-GB" w:bidi="ar-SA"/>
        </w:rPr>
        <w:t xml:space="preserve">European </w:t>
      </w:r>
      <w:r w:rsidRPr="00A92233">
        <w:rPr>
          <w:rFonts w:eastAsia="Calibri"/>
          <w:sz w:val="20"/>
          <w:szCs w:val="20"/>
          <w:lang w:val="en-GB" w:bidi="ar-SA"/>
        </w:rPr>
        <w:t>Journal of Lipid Science and Technology 116(10): 1280-3000</w:t>
      </w:r>
    </w:p>
    <w:p w14:paraId="0C5D5E61" w14:textId="77777777" w:rsidR="00086BE1" w:rsidRPr="00A92233" w:rsidRDefault="00086BE1" w:rsidP="00086BE1">
      <w:pPr>
        <w:widowControl/>
        <w:rPr>
          <w:rFonts w:eastAsia="Calibri"/>
          <w:sz w:val="20"/>
          <w:szCs w:val="20"/>
          <w:lang w:val="en-GB" w:bidi="ar-SA"/>
        </w:rPr>
      </w:pPr>
    </w:p>
    <w:p w14:paraId="74FA7179" w14:textId="77777777"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Carlson SE (2009a) Docosahexaenoic acid supplementation in pregnancy and lactation. American Journal of Clinical Nutrition 89(suppl.): 678S-84S</w:t>
      </w:r>
    </w:p>
    <w:p w14:paraId="46E01EAD" w14:textId="77777777" w:rsidR="00086BE1" w:rsidRPr="00A92233" w:rsidRDefault="00086BE1" w:rsidP="00086BE1">
      <w:pPr>
        <w:widowControl/>
        <w:rPr>
          <w:rFonts w:eastAsia="Calibri"/>
          <w:sz w:val="20"/>
          <w:szCs w:val="20"/>
          <w:lang w:val="en-GB" w:bidi="ar-SA"/>
        </w:rPr>
      </w:pPr>
    </w:p>
    <w:p w14:paraId="1F05A618" w14:textId="245CD049"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Carlson SE (2009b) Early determinants of development: a lipid perspective. American Journal of Clinical Nutrition 89(suppl.): 1523S-9S</w:t>
      </w:r>
    </w:p>
    <w:p w14:paraId="36C1B8FE" w14:textId="77777777" w:rsidR="00086BE1" w:rsidRPr="00A92233" w:rsidRDefault="00086BE1" w:rsidP="00086BE1">
      <w:pPr>
        <w:rPr>
          <w:rFonts w:eastAsia="Calibri"/>
          <w:sz w:val="20"/>
          <w:szCs w:val="20"/>
          <w:lang w:val="en-GB" w:bidi="ar-SA"/>
        </w:rPr>
      </w:pPr>
    </w:p>
    <w:p w14:paraId="40E2ACAF" w14:textId="7F622676" w:rsidR="00086BE1" w:rsidRPr="00A92233" w:rsidRDefault="00086BE1" w:rsidP="00086BE1">
      <w:pPr>
        <w:rPr>
          <w:sz w:val="20"/>
          <w:szCs w:val="20"/>
          <w:lang w:val="en-GB"/>
        </w:rPr>
      </w:pPr>
      <w:r w:rsidRPr="00A92233">
        <w:rPr>
          <w:rFonts w:eastAsia="Calibri"/>
          <w:sz w:val="20"/>
          <w:szCs w:val="20"/>
          <w:lang w:val="en-GB" w:bidi="ar-SA"/>
        </w:rPr>
        <w:t>Cohen JT, Bellinger DC, Connor We and Shaywitz BA (2005) A quantitative analysis of prenatal intake of n-3 polyunsaturated fatty acids and cognitive development. American Journal of Preventative Medicine 29(4): 366-374</w:t>
      </w:r>
    </w:p>
    <w:p w14:paraId="4F7A36B0" w14:textId="77777777" w:rsidR="00086BE1" w:rsidRPr="00A92233" w:rsidRDefault="00086BE1" w:rsidP="00173FEF">
      <w:pPr>
        <w:rPr>
          <w:sz w:val="20"/>
          <w:szCs w:val="20"/>
          <w:lang w:val="en-GB"/>
        </w:rPr>
      </w:pPr>
    </w:p>
    <w:p w14:paraId="65B02426" w14:textId="167A1D6D" w:rsidR="00276891" w:rsidRPr="00CE7FB6" w:rsidRDefault="00CE7FB6" w:rsidP="00276891">
      <w:pPr>
        <w:pStyle w:val="Default"/>
        <w:rPr>
          <w:rFonts w:ascii="Arial" w:hAnsi="Arial"/>
          <w:sz w:val="20"/>
        </w:rPr>
      </w:pPr>
      <w:r w:rsidRPr="00DE5269">
        <w:rPr>
          <w:rFonts w:ascii="Arial" w:hAnsi="Arial" w:cs="Arial"/>
          <w:sz w:val="20"/>
          <w:szCs w:val="20"/>
        </w:rPr>
        <w:t>EFSA</w:t>
      </w:r>
      <w:r w:rsidRPr="00DE5269" w:rsidDel="00CE7FB6">
        <w:rPr>
          <w:rFonts w:ascii="Arial" w:hAnsi="Arial" w:cs="Arial"/>
          <w:bCs/>
          <w:sz w:val="20"/>
          <w:szCs w:val="20"/>
        </w:rPr>
        <w:t xml:space="preserve"> </w:t>
      </w:r>
      <w:r w:rsidRPr="00DE5269">
        <w:rPr>
          <w:rFonts w:ascii="Arial" w:hAnsi="Arial" w:cs="Arial"/>
          <w:sz w:val="20"/>
          <w:szCs w:val="20"/>
        </w:rPr>
        <w:t xml:space="preserve">(2012) </w:t>
      </w:r>
      <w:r w:rsidR="002129F9" w:rsidRPr="00DE5269">
        <w:rPr>
          <w:rFonts w:ascii="Arial" w:hAnsi="Arial" w:cs="Arial"/>
          <w:bCs/>
          <w:sz w:val="20"/>
          <w:szCs w:val="20"/>
        </w:rPr>
        <w:t>(</w:t>
      </w:r>
      <w:r w:rsidRPr="00CE7FB6">
        <w:rPr>
          <w:rFonts w:ascii="Arial" w:hAnsi="Arial"/>
          <w:sz w:val="20"/>
        </w:rPr>
        <w:t>EFSA Panel on Dietetic Products, Nutrition and Allergies</w:t>
      </w:r>
      <w:r w:rsidR="002129F9" w:rsidRPr="00CE7FB6">
        <w:rPr>
          <w:rFonts w:ascii="Arial" w:hAnsi="Arial"/>
          <w:sz w:val="20"/>
        </w:rPr>
        <w:t>)</w:t>
      </w:r>
      <w:r w:rsidR="00276891" w:rsidRPr="00CE7FB6">
        <w:rPr>
          <w:rFonts w:ascii="Arial" w:hAnsi="Arial"/>
          <w:sz w:val="20"/>
        </w:rPr>
        <w:t xml:space="preserve"> Scientific Opinion on the Tolerable Upper Intake Level of </w:t>
      </w:r>
      <w:r w:rsidR="00580DE2" w:rsidRPr="00CE7FB6">
        <w:rPr>
          <w:rFonts w:ascii="Arial" w:hAnsi="Arial"/>
          <w:sz w:val="20"/>
        </w:rPr>
        <w:t>EPA</w:t>
      </w:r>
      <w:r w:rsidR="00276891" w:rsidRPr="00CE7FB6">
        <w:rPr>
          <w:rFonts w:ascii="Arial" w:hAnsi="Arial"/>
          <w:sz w:val="20"/>
        </w:rPr>
        <w:t xml:space="preserve">, </w:t>
      </w:r>
      <w:r w:rsidR="00580DE2" w:rsidRPr="00CE7FB6">
        <w:rPr>
          <w:rFonts w:ascii="Arial" w:hAnsi="Arial"/>
          <w:sz w:val="20"/>
        </w:rPr>
        <w:t>DHA</w:t>
      </w:r>
      <w:r w:rsidR="00276891" w:rsidRPr="00CE7FB6">
        <w:rPr>
          <w:rFonts w:ascii="Arial" w:hAnsi="Arial"/>
          <w:sz w:val="20"/>
        </w:rPr>
        <w:t xml:space="preserve"> and docosapentaenoic acid (DPA). EFSA Journal 10(7):2815–2863</w:t>
      </w:r>
      <w:r w:rsidR="00276891" w:rsidRPr="00CE7FB6" w:rsidDel="00413628">
        <w:rPr>
          <w:rFonts w:ascii="Arial" w:hAnsi="Arial"/>
          <w:sz w:val="20"/>
        </w:rPr>
        <w:t>.</w:t>
      </w:r>
    </w:p>
    <w:p w14:paraId="01B73722" w14:textId="01A230D8" w:rsidR="002129F9" w:rsidRPr="00CE7FB6" w:rsidRDefault="002129F9" w:rsidP="00276891">
      <w:pPr>
        <w:pStyle w:val="Default"/>
        <w:rPr>
          <w:rFonts w:ascii="Arial" w:hAnsi="Arial"/>
          <w:sz w:val="20"/>
        </w:rPr>
      </w:pPr>
    </w:p>
    <w:p w14:paraId="3167A03F" w14:textId="5DA5A492" w:rsidR="00276891" w:rsidRPr="00A92233" w:rsidRDefault="002129F9" w:rsidP="00276891">
      <w:pPr>
        <w:rPr>
          <w:rFonts w:cs="Arial"/>
          <w:sz w:val="20"/>
          <w:szCs w:val="20"/>
          <w:lang w:val="en-GB"/>
        </w:rPr>
      </w:pPr>
      <w:r w:rsidRPr="00A92233">
        <w:rPr>
          <w:rFonts w:cs="Arial"/>
          <w:sz w:val="20"/>
          <w:szCs w:val="20"/>
          <w:lang w:val="en-GB"/>
        </w:rPr>
        <w:t xml:space="preserve">EFSA (2014) (EFSA Panel on Dietetic Products, Nutrition, and Allergies) Scientific opinion on the essential composition of infant and follow-on formula. EFSA Journal 12(7):3760–3866 </w:t>
      </w:r>
      <w:hyperlink r:id="rId23" w:history="1">
        <w:r w:rsidR="00CE7FB6" w:rsidRPr="00A92233">
          <w:rPr>
            <w:rStyle w:val="Hyperlink"/>
            <w:rFonts w:cs="Arial"/>
            <w:sz w:val="20"/>
            <w:szCs w:val="20"/>
            <w:lang w:val="en-GB"/>
          </w:rPr>
          <w:t xml:space="preserve">http://www.efsa.europa.eu/en/efsajournal/pub/3760 </w:t>
        </w:r>
      </w:hyperlink>
    </w:p>
    <w:p w14:paraId="3619BA5A" w14:textId="77777777" w:rsidR="00CE7FB6" w:rsidRPr="00A92233" w:rsidRDefault="00CE7FB6" w:rsidP="00276891">
      <w:pPr>
        <w:rPr>
          <w:rFonts w:cs="Arial"/>
          <w:sz w:val="20"/>
          <w:szCs w:val="20"/>
          <w:lang w:val="en-GB"/>
        </w:rPr>
      </w:pPr>
    </w:p>
    <w:p w14:paraId="6F7B4D93" w14:textId="77777777" w:rsidR="00276891" w:rsidRPr="00A92233" w:rsidRDefault="00276891" w:rsidP="00276891">
      <w:pPr>
        <w:rPr>
          <w:sz w:val="20"/>
          <w:szCs w:val="20"/>
          <w:lang w:val="en-GB"/>
        </w:rPr>
      </w:pPr>
      <w:r w:rsidRPr="00A92233">
        <w:rPr>
          <w:rFonts w:cs="Arial"/>
          <w:noProof/>
          <w:sz w:val="20"/>
          <w:szCs w:val="20"/>
          <w:lang w:val="en-GB"/>
        </w:rPr>
        <w:t xml:space="preserve">EC SCF (2003) Report of the Scientific Committee on Food on the Revision of Essential Requirements of Infant Formulae and Follow-on Formulae. European Commission Health and Consumer Protection Directorate- General, Brussels </w:t>
      </w:r>
      <w:hyperlink r:id="rId24" w:history="1">
        <w:r w:rsidRPr="00A92233">
          <w:rPr>
            <w:rStyle w:val="Hyperlink"/>
            <w:rFonts w:cs="Arial"/>
            <w:noProof/>
            <w:sz w:val="20"/>
            <w:szCs w:val="20"/>
            <w:lang w:val="en-GB"/>
          </w:rPr>
          <w:t>http://ec.europa.eu/food/safety/docs/labelling_nutrition-special_groups_food-children-out199_en.pdf</w:t>
        </w:r>
      </w:hyperlink>
    </w:p>
    <w:p w14:paraId="1557FE1F" w14:textId="77777777" w:rsidR="00276891" w:rsidRPr="00A92233" w:rsidRDefault="00276891" w:rsidP="00276891">
      <w:pPr>
        <w:rPr>
          <w:rFonts w:cs="Arial"/>
          <w:noProof/>
          <w:szCs w:val="20"/>
          <w:lang w:val="en-GB"/>
        </w:rPr>
      </w:pPr>
    </w:p>
    <w:p w14:paraId="65BC215B" w14:textId="1933A46B" w:rsidR="00255D57" w:rsidRPr="00BE3399" w:rsidRDefault="002051B9" w:rsidP="002051B9">
      <w:pPr>
        <w:keepNext/>
        <w:keepLines/>
        <w:rPr>
          <w:rStyle w:val="Hyperlink"/>
          <w:rFonts w:eastAsia="Calibri"/>
          <w:bCs/>
          <w:sz w:val="20"/>
          <w:szCs w:val="20"/>
          <w:lang w:val="en-GB" w:bidi="ar-SA"/>
        </w:rPr>
      </w:pPr>
      <w:r w:rsidRPr="00BE3399">
        <w:rPr>
          <w:rFonts w:eastAsia="Calibri"/>
          <w:sz w:val="20"/>
          <w:szCs w:val="20"/>
          <w:lang w:val="en-GB"/>
        </w:rPr>
        <w:t>Food Standards Australia New Zealand (</w:t>
      </w:r>
      <w:r w:rsidR="00A920B1" w:rsidRPr="00BE3399">
        <w:rPr>
          <w:rFonts w:eastAsia="Calibri"/>
          <w:sz w:val="20"/>
          <w:szCs w:val="20"/>
          <w:lang w:val="en-GB" w:bidi="ar-SA"/>
        </w:rPr>
        <w:t>FSANZ</w:t>
      </w:r>
      <w:r w:rsidRPr="00BE3399">
        <w:rPr>
          <w:rFonts w:eastAsia="Calibri"/>
          <w:sz w:val="20"/>
          <w:szCs w:val="20"/>
          <w:lang w:val="en-GB" w:bidi="ar-SA"/>
        </w:rPr>
        <w:t>)</w:t>
      </w:r>
      <w:r w:rsidR="00A920B1" w:rsidRPr="00BE3399">
        <w:rPr>
          <w:rFonts w:eastAsia="Calibri"/>
          <w:sz w:val="20"/>
          <w:szCs w:val="20"/>
          <w:lang w:val="en-GB" w:bidi="ar-SA"/>
        </w:rPr>
        <w:t xml:space="preserve">, (2003) </w:t>
      </w:r>
      <w:r w:rsidRPr="00BE3399">
        <w:rPr>
          <w:rFonts w:eastAsia="Calibri"/>
          <w:bCs/>
          <w:sz w:val="20"/>
          <w:szCs w:val="20"/>
          <w:lang w:val="en-GB" w:bidi="ar-SA"/>
        </w:rPr>
        <w:t>DHASCO and ARASCO OILS as sources of long-chain polyunsaturated fatty acids in infant formula. A Safety Assessment</w:t>
      </w:r>
      <w:r w:rsidR="00255D57" w:rsidRPr="00BE3399">
        <w:rPr>
          <w:rFonts w:eastAsia="Calibri"/>
          <w:bCs/>
          <w:sz w:val="20"/>
          <w:szCs w:val="20"/>
          <w:lang w:val="en-GB" w:bidi="ar-SA"/>
        </w:rPr>
        <w:t xml:space="preserve">. </w:t>
      </w:r>
      <w:r w:rsidR="00A55CC0" w:rsidRPr="00BE3399">
        <w:rPr>
          <w:rFonts w:eastAsia="Calibri"/>
          <w:sz w:val="20"/>
          <w:szCs w:val="20"/>
          <w:lang w:val="en-GB" w:bidi="ar-SA"/>
        </w:rPr>
        <w:t>Technical Report Series No</w:t>
      </w:r>
      <w:r w:rsidR="00255D57" w:rsidRPr="00BE3399">
        <w:rPr>
          <w:rFonts w:eastAsia="Calibri"/>
          <w:sz w:val="20"/>
          <w:szCs w:val="20"/>
          <w:lang w:val="en-GB" w:bidi="ar-SA"/>
        </w:rPr>
        <w:t>. 22</w:t>
      </w:r>
      <w:r w:rsidR="00A55CC0" w:rsidRPr="00BE3399">
        <w:rPr>
          <w:rFonts w:eastAsia="Calibri"/>
          <w:sz w:val="20"/>
          <w:szCs w:val="20"/>
          <w:lang w:val="en-GB" w:bidi="ar-SA"/>
        </w:rPr>
        <w:t>, a</w:t>
      </w:r>
      <w:r w:rsidR="008710D1" w:rsidRPr="00BE3399">
        <w:rPr>
          <w:rFonts w:eastAsia="Calibri"/>
          <w:sz w:val="20"/>
          <w:szCs w:val="20"/>
          <w:lang w:val="en-GB" w:bidi="ar-SA"/>
        </w:rPr>
        <w:t xml:space="preserve">vailable at </w:t>
      </w:r>
      <w:hyperlink r:id="rId25" w:history="1">
        <w:r w:rsidR="00A55CC0" w:rsidRPr="00BE3399">
          <w:rPr>
            <w:rStyle w:val="Hyperlink"/>
            <w:rFonts w:eastAsia="Calibri"/>
            <w:bCs/>
            <w:sz w:val="20"/>
            <w:szCs w:val="20"/>
            <w:lang w:val="en-GB" w:bidi="ar-SA"/>
          </w:rPr>
          <w:t>http://www.foodstandards.gov.au/publications/Documents/DHASCO%20and%20ARASCO%20in%20infant%20formula.doc</w:t>
        </w:r>
      </w:hyperlink>
    </w:p>
    <w:p w14:paraId="7C244CCD" w14:textId="77777777" w:rsidR="00BE7515" w:rsidRPr="00BE3399" w:rsidRDefault="00BE7515" w:rsidP="00A55CC0">
      <w:pPr>
        <w:rPr>
          <w:rStyle w:val="Hyperlink"/>
          <w:rFonts w:eastAsia="Calibri"/>
          <w:bCs/>
          <w:sz w:val="20"/>
          <w:szCs w:val="20"/>
          <w:lang w:val="en-GB" w:bidi="ar-SA"/>
        </w:rPr>
      </w:pPr>
    </w:p>
    <w:p w14:paraId="4EB7C4C7" w14:textId="1DD54187" w:rsidR="00BE3399" w:rsidRDefault="00BE7515" w:rsidP="00A55CC0">
      <w:pPr>
        <w:rPr>
          <w:rFonts w:eastAsia="Calibri"/>
          <w:sz w:val="20"/>
          <w:szCs w:val="20"/>
          <w:lang w:val="en-GB" w:bidi="ar-SA"/>
        </w:rPr>
      </w:pPr>
      <w:r w:rsidRPr="00BE3399">
        <w:rPr>
          <w:rFonts w:eastAsia="Calibri"/>
          <w:sz w:val="20"/>
          <w:szCs w:val="20"/>
          <w:lang w:val="en-GB" w:bidi="ar-SA"/>
        </w:rPr>
        <w:t xml:space="preserve">FSANZ (2004) </w:t>
      </w:r>
      <w:r w:rsidRPr="00BE3399">
        <w:rPr>
          <w:rFonts w:eastAsia="Calibri"/>
          <w:sz w:val="20"/>
          <w:szCs w:val="20"/>
          <w:lang w:val="en-GB"/>
        </w:rPr>
        <w:t>Draft Assessment Report</w:t>
      </w:r>
      <w:r w:rsidRPr="00BE3399">
        <w:rPr>
          <w:rFonts w:eastAsia="Calibri"/>
          <w:sz w:val="20"/>
          <w:szCs w:val="20"/>
          <w:lang w:val="en-GB" w:bidi="ar-SA"/>
        </w:rPr>
        <w:t xml:space="preserve"> Application A522 </w:t>
      </w:r>
      <w:r w:rsidR="00306822" w:rsidRPr="00BE3399">
        <w:rPr>
          <w:rFonts w:eastAsia="Calibri"/>
          <w:sz w:val="20"/>
          <w:szCs w:val="20"/>
          <w:lang w:val="en-GB" w:bidi="ar-SA"/>
        </w:rPr>
        <w:t>–</w:t>
      </w:r>
      <w:r w:rsidRPr="00BE3399">
        <w:rPr>
          <w:rFonts w:eastAsia="Calibri"/>
          <w:sz w:val="20"/>
          <w:szCs w:val="20"/>
          <w:lang w:val="en-GB" w:bidi="ar-SA"/>
        </w:rPr>
        <w:t xml:space="preserve"> DHA-rich </w:t>
      </w:r>
      <w:r w:rsidR="00306822" w:rsidRPr="00BE3399">
        <w:rPr>
          <w:rFonts w:eastAsia="Calibri"/>
          <w:sz w:val="20"/>
          <w:szCs w:val="20"/>
          <w:lang w:val="en-GB" w:bidi="ar-SA"/>
        </w:rPr>
        <w:t>M</w:t>
      </w:r>
      <w:r w:rsidRPr="00BE3399">
        <w:rPr>
          <w:rFonts w:eastAsia="Calibri"/>
          <w:sz w:val="20"/>
          <w:szCs w:val="20"/>
          <w:lang w:val="en-GB" w:bidi="ar-SA"/>
        </w:rPr>
        <w:t xml:space="preserve">icro-algal </w:t>
      </w:r>
      <w:r w:rsidR="00306822" w:rsidRPr="00BE3399">
        <w:rPr>
          <w:rFonts w:eastAsia="Calibri"/>
          <w:sz w:val="20"/>
          <w:szCs w:val="20"/>
          <w:lang w:val="en-GB" w:bidi="ar-SA"/>
        </w:rPr>
        <w:t>O</w:t>
      </w:r>
      <w:r w:rsidRPr="00BE3399">
        <w:rPr>
          <w:rFonts w:eastAsia="Calibri"/>
          <w:sz w:val="20"/>
          <w:szCs w:val="20"/>
          <w:lang w:val="en-GB" w:bidi="ar-SA"/>
        </w:rPr>
        <w:t xml:space="preserve">il from </w:t>
      </w:r>
      <w:r w:rsidRPr="00BE3399">
        <w:rPr>
          <w:rFonts w:eastAsia="Calibri"/>
          <w:i/>
          <w:sz w:val="20"/>
          <w:szCs w:val="20"/>
          <w:lang w:val="en-GB" w:bidi="ar-SA"/>
        </w:rPr>
        <w:t>Ulkenia</w:t>
      </w:r>
      <w:r w:rsidRPr="00BE3399">
        <w:rPr>
          <w:rFonts w:eastAsia="Calibri"/>
          <w:sz w:val="20"/>
          <w:szCs w:val="20"/>
          <w:lang w:val="en-GB" w:bidi="ar-SA"/>
        </w:rPr>
        <w:t xml:space="preserve"> sp. as a </w:t>
      </w:r>
      <w:r w:rsidR="00306822" w:rsidRPr="00BE3399">
        <w:rPr>
          <w:rFonts w:eastAsia="Calibri"/>
          <w:sz w:val="20"/>
          <w:szCs w:val="20"/>
          <w:lang w:val="en-GB" w:bidi="ar-SA"/>
        </w:rPr>
        <w:t>N</w:t>
      </w:r>
      <w:r w:rsidRPr="00BE3399">
        <w:rPr>
          <w:rFonts w:eastAsia="Calibri"/>
          <w:sz w:val="20"/>
          <w:szCs w:val="20"/>
          <w:lang w:val="en-GB" w:bidi="ar-SA"/>
        </w:rPr>
        <w:t xml:space="preserve">ovel </w:t>
      </w:r>
      <w:r w:rsidR="00306822" w:rsidRPr="00BE3399">
        <w:rPr>
          <w:rFonts w:eastAsia="Calibri"/>
          <w:sz w:val="20"/>
          <w:szCs w:val="20"/>
          <w:lang w:val="en-GB" w:bidi="ar-SA"/>
        </w:rPr>
        <w:t>F</w:t>
      </w:r>
      <w:r w:rsidRPr="00BE3399">
        <w:rPr>
          <w:rFonts w:eastAsia="Calibri"/>
          <w:sz w:val="20"/>
          <w:szCs w:val="20"/>
          <w:lang w:val="en-GB" w:bidi="ar-SA"/>
        </w:rPr>
        <w:t xml:space="preserve">ood, </w:t>
      </w:r>
      <w:r w:rsidR="002051B9" w:rsidRPr="00BE3399">
        <w:rPr>
          <w:rFonts w:eastAsia="Calibri"/>
          <w:sz w:val="20"/>
          <w:szCs w:val="20"/>
          <w:lang w:val="en-GB" w:bidi="ar-SA"/>
        </w:rPr>
        <w:t>available at:</w:t>
      </w:r>
      <w:r w:rsidRPr="00BE3399">
        <w:rPr>
          <w:rFonts w:eastAsia="Calibri"/>
          <w:sz w:val="20"/>
          <w:szCs w:val="20"/>
          <w:lang w:val="en-GB" w:bidi="ar-SA"/>
        </w:rPr>
        <w:t xml:space="preserve"> </w:t>
      </w:r>
      <w:hyperlink r:id="rId26" w:history="1">
        <w:r w:rsidR="00306822" w:rsidRPr="00BE3399">
          <w:rPr>
            <w:rStyle w:val="Hyperlink"/>
            <w:rFonts w:eastAsia="Calibri"/>
            <w:sz w:val="20"/>
            <w:szCs w:val="20"/>
            <w:lang w:val="en-GB"/>
          </w:rPr>
          <w:t>http://www.foodstandards.gov.au/code/applications/Pages/applicationa522dhari2348.aspx</w:t>
        </w:r>
      </w:hyperlink>
      <w:r w:rsidR="00306822" w:rsidRPr="00BE3399">
        <w:rPr>
          <w:rFonts w:eastAsia="Calibri"/>
          <w:sz w:val="20"/>
          <w:szCs w:val="20"/>
          <w:lang w:val="en-GB" w:bidi="ar-SA"/>
        </w:rPr>
        <w:t xml:space="preserve"> </w:t>
      </w:r>
      <w:r w:rsidR="00BE3399">
        <w:rPr>
          <w:rFonts w:eastAsia="Calibri"/>
          <w:sz w:val="20"/>
          <w:szCs w:val="20"/>
          <w:lang w:val="en-GB" w:bidi="ar-SA"/>
        </w:rPr>
        <w:br w:type="page"/>
      </w:r>
    </w:p>
    <w:p w14:paraId="04259C44" w14:textId="18D9D802" w:rsidR="00255D57" w:rsidRPr="00A92233" w:rsidRDefault="00A55CC0" w:rsidP="00A55CC0">
      <w:pPr>
        <w:widowControl/>
        <w:rPr>
          <w:rFonts w:eastAsia="Calibri"/>
          <w:bCs/>
          <w:sz w:val="20"/>
          <w:szCs w:val="20"/>
          <w:lang w:val="en-GB" w:bidi="ar-SA"/>
        </w:rPr>
      </w:pPr>
      <w:r w:rsidRPr="00A92233">
        <w:rPr>
          <w:sz w:val="20"/>
          <w:szCs w:val="20"/>
          <w:lang w:val="en-GB"/>
        </w:rPr>
        <w:lastRenderedPageBreak/>
        <w:t xml:space="preserve">FSANZ </w:t>
      </w:r>
      <w:hyperlink r:id="rId27" w:history="1">
        <w:r w:rsidRPr="00A92233">
          <w:rPr>
            <w:rStyle w:val="Hyperlink"/>
            <w:rFonts w:eastAsia="Calibri"/>
            <w:bCs/>
            <w:sz w:val="20"/>
            <w:szCs w:val="20"/>
            <w:lang w:val="en-GB" w:bidi="ar-SA"/>
          </w:rPr>
          <w:t>(</w:t>
        </w:r>
        <w:r w:rsidRPr="00A92233">
          <w:rPr>
            <w:rFonts w:eastAsia="Calibri"/>
            <w:bCs/>
            <w:sz w:val="20"/>
            <w:szCs w:val="20"/>
            <w:lang w:val="en-GB" w:bidi="ar-SA"/>
          </w:rPr>
          <w:t>2005) F</w:t>
        </w:r>
        <w:r w:rsidR="00255D57" w:rsidRPr="00A92233">
          <w:rPr>
            <w:rStyle w:val="Hyperlink"/>
            <w:rFonts w:eastAsia="Calibri"/>
            <w:bCs/>
            <w:sz w:val="20"/>
            <w:szCs w:val="20"/>
            <w:lang w:val="en-GB" w:bidi="ar-SA"/>
          </w:rPr>
          <w:t xml:space="preserve">inal assessment report. Application A522, DHA-rich micro-algal oil from </w:t>
        </w:r>
        <w:r w:rsidR="00255D57" w:rsidRPr="00A92233">
          <w:rPr>
            <w:rStyle w:val="Hyperlink"/>
            <w:rFonts w:eastAsia="Calibri"/>
            <w:bCs/>
            <w:i/>
            <w:iCs/>
            <w:sz w:val="20"/>
            <w:szCs w:val="20"/>
            <w:lang w:val="en-GB" w:bidi="ar-SA"/>
          </w:rPr>
          <w:t>ulkenia</w:t>
        </w:r>
        <w:r w:rsidR="00255D57" w:rsidRPr="00A92233">
          <w:rPr>
            <w:rStyle w:val="Hyperlink"/>
            <w:rFonts w:eastAsia="Calibri"/>
            <w:bCs/>
            <w:sz w:val="20"/>
            <w:szCs w:val="20"/>
            <w:lang w:val="en-GB" w:bidi="ar-SA"/>
          </w:rPr>
          <w:t xml:space="preserve"> sp. as a novel food.</w:t>
        </w:r>
      </w:hyperlink>
      <w:r w:rsidR="00255D57" w:rsidRPr="00A92233">
        <w:rPr>
          <w:rFonts w:eastAsia="Calibri"/>
          <w:sz w:val="20"/>
          <w:szCs w:val="20"/>
          <w:lang w:val="en-GB" w:bidi="ar-SA"/>
        </w:rPr>
        <w:t xml:space="preserve"> </w:t>
      </w:r>
      <w:r w:rsidR="00255D57" w:rsidRPr="00A92233">
        <w:rPr>
          <w:rFonts w:eastAsia="Calibri"/>
          <w:bCs/>
          <w:sz w:val="20"/>
          <w:szCs w:val="20"/>
          <w:lang w:val="en-GB" w:bidi="ar-SA"/>
        </w:rPr>
        <w:t xml:space="preserve">Food Standards Australia New Zealand, </w:t>
      </w:r>
      <w:r w:rsidR="00BE7515" w:rsidRPr="00A92233">
        <w:rPr>
          <w:rFonts w:eastAsia="Calibri"/>
          <w:sz w:val="20"/>
          <w:szCs w:val="20"/>
          <w:lang w:val="en-GB" w:bidi="ar-SA"/>
        </w:rPr>
        <w:t xml:space="preserve">available </w:t>
      </w:r>
      <w:r w:rsidRPr="00A92233">
        <w:rPr>
          <w:rFonts w:eastAsia="Calibri"/>
          <w:sz w:val="20"/>
          <w:szCs w:val="20"/>
          <w:lang w:val="en-GB" w:bidi="ar-SA"/>
        </w:rPr>
        <w:t xml:space="preserve">at </w:t>
      </w:r>
      <w:hyperlink r:id="rId28" w:history="1">
        <w:r w:rsidR="00306822" w:rsidRPr="00A92233">
          <w:rPr>
            <w:rStyle w:val="Hyperlink"/>
            <w:rFonts w:eastAsia="Calibri"/>
            <w:lang w:val="en-GB"/>
          </w:rPr>
          <w:t>http://www.foodstandards.gov.au/code/applications/Documents/A522%20DHA-rich%20oil%20FAR1.doc</w:t>
        </w:r>
      </w:hyperlink>
      <w:r w:rsidR="00306822">
        <w:rPr>
          <w:rFonts w:eastAsia="Calibri"/>
          <w:sz w:val="20"/>
          <w:szCs w:val="20"/>
          <w:lang w:val="en-GB" w:bidi="ar-SA"/>
        </w:rPr>
        <w:t xml:space="preserve"> </w:t>
      </w:r>
    </w:p>
    <w:p w14:paraId="548666FB" w14:textId="77777777" w:rsidR="00255D57" w:rsidRPr="00A92233" w:rsidRDefault="00255D57" w:rsidP="00276891">
      <w:pPr>
        <w:rPr>
          <w:rFonts w:cs="Arial"/>
          <w:noProof/>
          <w:sz w:val="20"/>
          <w:szCs w:val="20"/>
          <w:lang w:val="en-GB"/>
        </w:rPr>
      </w:pPr>
    </w:p>
    <w:p w14:paraId="07CA7A51" w14:textId="37236786" w:rsidR="00276891" w:rsidRPr="00A92233" w:rsidRDefault="00276891" w:rsidP="00276891">
      <w:pPr>
        <w:rPr>
          <w:sz w:val="20"/>
          <w:szCs w:val="20"/>
          <w:lang w:val="en-GB"/>
        </w:rPr>
      </w:pPr>
      <w:r w:rsidRPr="00A92233">
        <w:rPr>
          <w:rFonts w:cs="Arial"/>
          <w:noProof/>
          <w:sz w:val="20"/>
          <w:szCs w:val="20"/>
          <w:lang w:val="en-GB"/>
        </w:rPr>
        <w:t xml:space="preserve">FSANZ (2007b) Application A532 Final Assessment Report, Ratio of Long Chain Polyunsaturated Fatty Acids in </w:t>
      </w:r>
      <w:r w:rsidR="00FA31C9">
        <w:rPr>
          <w:rFonts w:cs="Arial"/>
          <w:noProof/>
          <w:sz w:val="20"/>
          <w:szCs w:val="20"/>
          <w:lang w:val="en-GB"/>
        </w:rPr>
        <w:t>INFANT FORMULA PRODUCTS</w:t>
      </w:r>
      <w:r w:rsidRPr="00A92233">
        <w:rPr>
          <w:rFonts w:cs="Arial"/>
          <w:noProof/>
          <w:sz w:val="20"/>
          <w:szCs w:val="20"/>
          <w:lang w:val="en-GB"/>
        </w:rPr>
        <w:t xml:space="preserve">. Report prepared by Food Standards Australia New Zealand, Canberra </w:t>
      </w:r>
      <w:hyperlink r:id="rId29" w:history="1">
        <w:r w:rsidRPr="00A92233">
          <w:rPr>
            <w:rStyle w:val="Hyperlink"/>
            <w:rFonts w:cs="Arial"/>
            <w:noProof/>
            <w:sz w:val="20"/>
            <w:szCs w:val="20"/>
            <w:lang w:val="en-GB"/>
          </w:rPr>
          <w:t>http://www.foodstandards.gov.au/code/applications/Documents/A532%20LCPUFAs%20FAR%20FINAL.pdf</w:t>
        </w:r>
      </w:hyperlink>
    </w:p>
    <w:p w14:paraId="2D051580" w14:textId="6F6B4A80" w:rsidR="00E04033" w:rsidRPr="00A92233" w:rsidRDefault="00E04033" w:rsidP="00173FEF">
      <w:pPr>
        <w:rPr>
          <w:sz w:val="20"/>
          <w:szCs w:val="20"/>
          <w:lang w:val="en-GB"/>
        </w:rPr>
      </w:pPr>
    </w:p>
    <w:p w14:paraId="3041867E" w14:textId="11A56BDE" w:rsidR="00255D57" w:rsidRPr="00A92233" w:rsidRDefault="00A55CC0" w:rsidP="00A55CC0">
      <w:pPr>
        <w:rPr>
          <w:rFonts w:eastAsia="Calibri"/>
          <w:sz w:val="20"/>
          <w:szCs w:val="20"/>
          <w:lang w:val="en-GB" w:bidi="ar-SA"/>
        </w:rPr>
      </w:pPr>
      <w:r w:rsidRPr="00A92233">
        <w:rPr>
          <w:sz w:val="20"/>
          <w:szCs w:val="20"/>
          <w:lang w:val="en-GB"/>
        </w:rPr>
        <w:t xml:space="preserve">FSANZ (2015) </w:t>
      </w:r>
      <w:hyperlink r:id="rId30" w:history="1">
        <w:r w:rsidR="00255D57" w:rsidRPr="00A92233">
          <w:rPr>
            <w:rStyle w:val="Hyperlink"/>
            <w:rFonts w:eastAsia="Calibri"/>
            <w:sz w:val="20"/>
            <w:szCs w:val="20"/>
            <w:lang w:val="en-GB" w:bidi="ar-SA"/>
          </w:rPr>
          <w:t xml:space="preserve">Systematic review of the evidence for a relationship between docosahexaenoic acid (DHA) and maintenance of normal brain function and normal vision. </w:t>
        </w:r>
      </w:hyperlink>
      <w:r w:rsidR="00255D57" w:rsidRPr="00A92233">
        <w:rPr>
          <w:rFonts w:eastAsia="Calibri"/>
          <w:sz w:val="20"/>
          <w:szCs w:val="20"/>
          <w:lang w:val="en-GB" w:bidi="ar-SA"/>
        </w:rPr>
        <w:t xml:space="preserve">Food Standards Australia New Zealand, </w:t>
      </w:r>
      <w:r w:rsidRPr="00A92233">
        <w:rPr>
          <w:rFonts w:eastAsia="Calibri"/>
          <w:sz w:val="20"/>
          <w:szCs w:val="20"/>
          <w:lang w:val="en-GB" w:bidi="ar-SA"/>
        </w:rPr>
        <w:t xml:space="preserve">available at </w:t>
      </w:r>
      <w:hyperlink r:id="rId31" w:history="1">
        <w:r w:rsidR="00306822" w:rsidRPr="00A92233">
          <w:rPr>
            <w:rStyle w:val="Hyperlink"/>
            <w:rFonts w:eastAsia="Calibri"/>
            <w:lang w:val="en-GB"/>
          </w:rPr>
          <w:t>http://www.foodstandards.gov.au/industry/labelling/Documents/DHA%20systematic%20review.docx</w:t>
        </w:r>
      </w:hyperlink>
      <w:r w:rsidR="00306822">
        <w:rPr>
          <w:rFonts w:eastAsia="Calibri"/>
          <w:sz w:val="20"/>
          <w:szCs w:val="20"/>
          <w:lang w:val="en-GB" w:bidi="ar-SA"/>
        </w:rPr>
        <w:t xml:space="preserve"> </w:t>
      </w:r>
    </w:p>
    <w:p w14:paraId="06E58793" w14:textId="77777777" w:rsidR="00255D57" w:rsidRPr="00A92233" w:rsidRDefault="00255D57" w:rsidP="00173FEF">
      <w:pPr>
        <w:rPr>
          <w:sz w:val="20"/>
          <w:szCs w:val="20"/>
          <w:lang w:val="en-GB"/>
        </w:rPr>
      </w:pPr>
    </w:p>
    <w:p w14:paraId="4353A437" w14:textId="226CC147" w:rsidR="002129F9" w:rsidRPr="00A92233" w:rsidRDefault="002129F9" w:rsidP="002129F9">
      <w:pPr>
        <w:rPr>
          <w:rFonts w:eastAsia="Arial Unicode MS"/>
          <w:sz w:val="20"/>
          <w:szCs w:val="20"/>
          <w:lang w:val="en-GB"/>
        </w:rPr>
      </w:pPr>
      <w:r w:rsidRPr="00A92233">
        <w:rPr>
          <w:rFonts w:eastAsia="Arial Unicode MS"/>
          <w:sz w:val="20"/>
          <w:szCs w:val="20"/>
          <w:lang w:val="en-GB"/>
        </w:rPr>
        <w:t xml:space="preserve">FSANZ (2016) </w:t>
      </w:r>
      <w:r w:rsidRPr="00A92233">
        <w:rPr>
          <w:sz w:val="20"/>
          <w:szCs w:val="20"/>
          <w:lang w:val="en-GB"/>
        </w:rPr>
        <w:t xml:space="preserve">SD1 Attachment A1.1 – Nutrition Assessment Proposal P1028 – Infant Formula </w:t>
      </w:r>
      <w:r w:rsidRPr="00A92233">
        <w:rPr>
          <w:rFonts w:eastAsia="Calibri"/>
          <w:sz w:val="20"/>
          <w:szCs w:val="20"/>
          <w:lang w:val="en-GB"/>
        </w:rPr>
        <w:t xml:space="preserve">Food Standards Australia New Zealand, available at </w:t>
      </w:r>
      <w:hyperlink r:id="rId32" w:history="1">
        <w:r w:rsidR="00306822" w:rsidRPr="00A92233">
          <w:rPr>
            <w:rStyle w:val="Hyperlink"/>
            <w:rFonts w:eastAsia="Calibri"/>
            <w:lang w:val="en-GB"/>
          </w:rPr>
          <w:t>http://www.foodstandards.gov.au/code/proposals/Documents/P1028-Consult-SD1-Attach-A1.pdf</w:t>
        </w:r>
      </w:hyperlink>
      <w:r w:rsidR="00306822">
        <w:rPr>
          <w:rFonts w:eastAsia="Calibri"/>
          <w:sz w:val="20"/>
          <w:szCs w:val="20"/>
          <w:lang w:val="en-GB"/>
        </w:rPr>
        <w:t xml:space="preserve"> </w:t>
      </w:r>
    </w:p>
    <w:p w14:paraId="19BFB3B4" w14:textId="77777777" w:rsidR="002129F9" w:rsidRPr="00A92233" w:rsidRDefault="002129F9" w:rsidP="00173FEF">
      <w:pPr>
        <w:rPr>
          <w:sz w:val="20"/>
          <w:szCs w:val="20"/>
          <w:lang w:val="en-GB"/>
        </w:rPr>
      </w:pPr>
    </w:p>
    <w:p w14:paraId="396769B7" w14:textId="70714DA6" w:rsidR="00086BE1" w:rsidRPr="00A92233" w:rsidRDefault="00086BE1" w:rsidP="00086BE1">
      <w:pPr>
        <w:rPr>
          <w:sz w:val="20"/>
          <w:szCs w:val="20"/>
          <w:lang w:val="en-GB"/>
        </w:rPr>
      </w:pPr>
      <w:r w:rsidRPr="00A92233">
        <w:rPr>
          <w:sz w:val="20"/>
          <w:szCs w:val="20"/>
          <w:lang w:val="en-GB"/>
        </w:rPr>
        <w:t xml:space="preserve">Fedorova-Dahms I, Marone PA, Bauter M and Ryan AS (2011) Safety evaluation of DHA-rich algal oil from </w:t>
      </w:r>
      <w:r w:rsidRPr="00A92233">
        <w:rPr>
          <w:i/>
          <w:sz w:val="20"/>
          <w:szCs w:val="20"/>
          <w:lang w:val="en-GB"/>
        </w:rPr>
        <w:t>Schizochytrium</w:t>
      </w:r>
      <w:r w:rsidRPr="00A92233">
        <w:rPr>
          <w:sz w:val="20"/>
          <w:szCs w:val="20"/>
          <w:lang w:val="en-GB"/>
        </w:rPr>
        <w:t xml:space="preserve"> sp. Food and Chemical Toxicology 49: 3310-3318</w:t>
      </w:r>
    </w:p>
    <w:p w14:paraId="4F4F6939" w14:textId="77777777" w:rsidR="00086BE1" w:rsidRPr="00A92233" w:rsidRDefault="00086BE1" w:rsidP="00086BE1">
      <w:pPr>
        <w:rPr>
          <w:sz w:val="20"/>
          <w:szCs w:val="20"/>
          <w:lang w:val="en-GB"/>
        </w:rPr>
      </w:pPr>
    </w:p>
    <w:p w14:paraId="34847E15" w14:textId="45BCD22A" w:rsidR="00086BE1" w:rsidRPr="00A92233" w:rsidRDefault="00086BE1" w:rsidP="00086BE1">
      <w:pPr>
        <w:rPr>
          <w:sz w:val="20"/>
          <w:szCs w:val="20"/>
          <w:lang w:val="en-GB"/>
        </w:rPr>
      </w:pPr>
      <w:r w:rsidRPr="00A92233">
        <w:rPr>
          <w:sz w:val="20"/>
          <w:szCs w:val="20"/>
          <w:lang w:val="en-GB"/>
        </w:rPr>
        <w:t>Federova-Dahms I, Thorsrud BA, Bailey E, and Salem Jr., N (2014) A 3-week dietary bioequivalence study in preweaned farm piglets of two sources of docosahexaenoic acid produced from two different organisms</w:t>
      </w:r>
      <w:r w:rsidRPr="00A92233">
        <w:rPr>
          <w:i/>
          <w:sz w:val="20"/>
          <w:szCs w:val="20"/>
          <w:lang w:val="en-GB"/>
        </w:rPr>
        <w:t xml:space="preserve">. </w:t>
      </w:r>
      <w:r w:rsidRPr="00A92233">
        <w:rPr>
          <w:sz w:val="20"/>
          <w:szCs w:val="20"/>
          <w:lang w:val="en-GB"/>
        </w:rPr>
        <w:t>Food and Chemical Toxicology</w:t>
      </w:r>
      <w:r w:rsidRPr="00A92233">
        <w:rPr>
          <w:i/>
          <w:sz w:val="20"/>
          <w:szCs w:val="20"/>
          <w:lang w:val="en-GB"/>
        </w:rPr>
        <w:t xml:space="preserve"> </w:t>
      </w:r>
      <w:r w:rsidRPr="00A92233">
        <w:rPr>
          <w:sz w:val="20"/>
          <w:szCs w:val="20"/>
          <w:lang w:val="en-GB"/>
        </w:rPr>
        <w:t>65: 43-51</w:t>
      </w:r>
    </w:p>
    <w:p w14:paraId="17180C63" w14:textId="6613982A" w:rsidR="00086BE1" w:rsidRPr="00A92233" w:rsidRDefault="00086BE1" w:rsidP="00086BE1">
      <w:pPr>
        <w:widowControl/>
        <w:rPr>
          <w:rFonts w:eastAsia="Calibri"/>
          <w:sz w:val="20"/>
          <w:szCs w:val="20"/>
          <w:lang w:val="en-GB" w:bidi="ar-SA"/>
        </w:rPr>
      </w:pPr>
    </w:p>
    <w:p w14:paraId="109FF87A" w14:textId="77D76EA5"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Guesnet P and Alessandri J-M (2011) D</w:t>
      </w:r>
      <w:r w:rsidR="00580DE2" w:rsidRPr="00A92233">
        <w:rPr>
          <w:rFonts w:eastAsia="Calibri"/>
          <w:sz w:val="20"/>
          <w:szCs w:val="20"/>
          <w:lang w:val="en-GB" w:bidi="ar-SA"/>
        </w:rPr>
        <w:t>HA</w:t>
      </w:r>
      <w:r w:rsidRPr="00A92233">
        <w:rPr>
          <w:rFonts w:eastAsia="Calibri"/>
          <w:sz w:val="20"/>
          <w:szCs w:val="20"/>
          <w:lang w:val="en-GB" w:bidi="ar-SA"/>
        </w:rPr>
        <w:t xml:space="preserve"> and the developing central nervous system (CNS) – Implications for dietary recommendations. Biochimie 93: 7-12</w:t>
      </w:r>
    </w:p>
    <w:p w14:paraId="640C10DF" w14:textId="77777777" w:rsidR="00086BE1" w:rsidRPr="00A92233" w:rsidRDefault="00086BE1" w:rsidP="00086BE1">
      <w:pPr>
        <w:widowControl/>
        <w:rPr>
          <w:rFonts w:eastAsia="Calibri"/>
          <w:sz w:val="20"/>
          <w:szCs w:val="20"/>
          <w:lang w:val="en-GB" w:bidi="ar-SA"/>
        </w:rPr>
      </w:pPr>
    </w:p>
    <w:p w14:paraId="3DF02FD3" w14:textId="1EBCA488"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Hadders-Algra M (2011) Prenatal and early postnatal supplementation with long-chain polyunsaturated fatty acids: neurodevelopmental considerations. American Journal of Clinical Nutrition 94(suppl): 1874S-9S</w:t>
      </w:r>
    </w:p>
    <w:p w14:paraId="4267924F" w14:textId="77777777" w:rsidR="00086BE1" w:rsidRPr="00A92233" w:rsidRDefault="00086BE1" w:rsidP="00086BE1">
      <w:pPr>
        <w:rPr>
          <w:sz w:val="20"/>
          <w:szCs w:val="20"/>
          <w:lang w:val="en-GB"/>
        </w:rPr>
      </w:pPr>
    </w:p>
    <w:p w14:paraId="5C0CF8BE" w14:textId="4600C129" w:rsidR="00086BE1" w:rsidRPr="00A92233" w:rsidRDefault="00086BE1" w:rsidP="00086BE1">
      <w:pPr>
        <w:rPr>
          <w:sz w:val="20"/>
          <w:szCs w:val="20"/>
          <w:lang w:val="en-GB"/>
        </w:rPr>
      </w:pPr>
      <w:r w:rsidRPr="00A92233">
        <w:rPr>
          <w:sz w:val="20"/>
          <w:szCs w:val="20"/>
          <w:lang w:val="en-GB"/>
        </w:rPr>
        <w:t xml:space="preserve">Hammond BG, Mayhew DA, Naylor MW, Reucker FA, Mast RW and Sander WJ (2001a) Safety Assessment of DHA-Rich Microalgae from </w:t>
      </w:r>
      <w:r w:rsidRPr="00A92233">
        <w:rPr>
          <w:i/>
          <w:sz w:val="20"/>
          <w:szCs w:val="20"/>
          <w:lang w:val="en-GB"/>
        </w:rPr>
        <w:t>Schizochytrium</w:t>
      </w:r>
      <w:r w:rsidRPr="00A92233">
        <w:rPr>
          <w:sz w:val="20"/>
          <w:szCs w:val="20"/>
          <w:lang w:val="en-GB"/>
        </w:rPr>
        <w:t xml:space="preserve"> sp. I. Subchronic Rat Feeding Study. Regulatory Toxicology and Pharmacology 33: 192–204</w:t>
      </w:r>
    </w:p>
    <w:p w14:paraId="78AF7E44" w14:textId="77777777" w:rsidR="00086BE1" w:rsidRPr="00A92233" w:rsidRDefault="00086BE1" w:rsidP="00086BE1">
      <w:pPr>
        <w:rPr>
          <w:sz w:val="20"/>
          <w:szCs w:val="20"/>
          <w:lang w:val="en-GB"/>
        </w:rPr>
      </w:pPr>
    </w:p>
    <w:p w14:paraId="0375FE62" w14:textId="3B622751" w:rsidR="00086BE1" w:rsidRPr="00A92233" w:rsidRDefault="00086BE1" w:rsidP="00FA0B2F">
      <w:pPr>
        <w:ind w:right="-2"/>
        <w:rPr>
          <w:sz w:val="20"/>
          <w:szCs w:val="20"/>
          <w:lang w:val="en-GB"/>
        </w:rPr>
      </w:pPr>
      <w:r w:rsidRPr="00A92233">
        <w:rPr>
          <w:sz w:val="20"/>
          <w:szCs w:val="20"/>
          <w:lang w:val="en-GB"/>
        </w:rPr>
        <w:t>Hammond BG, Mayhew DA, Holson JF, Nemac MD, Mast RW, Sander WJ. (2001b). Safety</w:t>
      </w:r>
      <w:r w:rsidR="00C04F3F" w:rsidRPr="00A92233">
        <w:rPr>
          <w:sz w:val="20"/>
          <w:szCs w:val="20"/>
          <w:lang w:val="en-GB"/>
        </w:rPr>
        <w:t xml:space="preserve"> </w:t>
      </w:r>
      <w:r w:rsidRPr="00A92233">
        <w:rPr>
          <w:sz w:val="20"/>
          <w:szCs w:val="20"/>
          <w:lang w:val="en-GB"/>
        </w:rPr>
        <w:t xml:space="preserve">assessment of DHA-rich microalgae from </w:t>
      </w:r>
      <w:r w:rsidRPr="00A92233">
        <w:rPr>
          <w:i/>
          <w:sz w:val="20"/>
          <w:szCs w:val="20"/>
          <w:lang w:val="en-GB"/>
        </w:rPr>
        <w:t>Schizochytrium</w:t>
      </w:r>
      <w:r w:rsidRPr="00A92233">
        <w:rPr>
          <w:sz w:val="20"/>
          <w:szCs w:val="20"/>
          <w:lang w:val="en-GB"/>
        </w:rPr>
        <w:t xml:space="preserve"> sp. Part III. Single generation rat</w:t>
      </w:r>
      <w:r w:rsidR="00C04F3F" w:rsidRPr="00A92233">
        <w:rPr>
          <w:sz w:val="20"/>
          <w:szCs w:val="20"/>
          <w:lang w:val="en-GB"/>
        </w:rPr>
        <w:t xml:space="preserve"> </w:t>
      </w:r>
      <w:r w:rsidRPr="00A92233">
        <w:rPr>
          <w:sz w:val="20"/>
          <w:szCs w:val="20"/>
          <w:lang w:val="en-GB"/>
        </w:rPr>
        <w:t>reproduction study. Regulatory Toxicology and Pharmacology 33: 356-362.</w:t>
      </w:r>
    </w:p>
    <w:p w14:paraId="60ACA674" w14:textId="77777777" w:rsidR="00086BE1" w:rsidRPr="00A92233" w:rsidRDefault="00086BE1" w:rsidP="00086BE1">
      <w:pPr>
        <w:rPr>
          <w:sz w:val="20"/>
          <w:szCs w:val="20"/>
          <w:lang w:val="en-GB"/>
        </w:rPr>
      </w:pPr>
    </w:p>
    <w:p w14:paraId="5A7A9A76" w14:textId="25FF0DE0" w:rsidR="00086BE1" w:rsidRPr="00A92233" w:rsidRDefault="00086BE1" w:rsidP="00086BE1">
      <w:pPr>
        <w:rPr>
          <w:sz w:val="20"/>
          <w:szCs w:val="20"/>
          <w:lang w:val="en-GB"/>
        </w:rPr>
      </w:pPr>
      <w:r w:rsidRPr="00A92233">
        <w:rPr>
          <w:sz w:val="20"/>
          <w:szCs w:val="20"/>
          <w:lang w:val="en-GB"/>
        </w:rPr>
        <w:t>Hammond BG, Mayhew DA, Holson JF, Nemac MD, Mast RW, Sander WJ. (2001c) Safety</w:t>
      </w:r>
    </w:p>
    <w:p w14:paraId="2C849768" w14:textId="77777777" w:rsidR="00086BE1" w:rsidRPr="00A92233" w:rsidRDefault="00086BE1" w:rsidP="00086BE1">
      <w:pPr>
        <w:rPr>
          <w:sz w:val="20"/>
          <w:szCs w:val="20"/>
          <w:lang w:val="en-GB"/>
        </w:rPr>
      </w:pPr>
      <w:r w:rsidRPr="00A92233">
        <w:rPr>
          <w:sz w:val="20"/>
          <w:szCs w:val="20"/>
          <w:lang w:val="en-GB"/>
        </w:rPr>
        <w:t xml:space="preserve">assessment of DHA-rich microalgae from </w:t>
      </w:r>
      <w:r w:rsidRPr="00A92233">
        <w:rPr>
          <w:i/>
          <w:sz w:val="20"/>
          <w:szCs w:val="20"/>
          <w:lang w:val="en-GB"/>
        </w:rPr>
        <w:t>Schizochytrium</w:t>
      </w:r>
      <w:r w:rsidRPr="00A92233">
        <w:rPr>
          <w:sz w:val="20"/>
          <w:szCs w:val="20"/>
          <w:lang w:val="en-GB"/>
        </w:rPr>
        <w:t xml:space="preserve"> sp. Part II. Developmental toxicology evaluation in rats and rabbits. Regulatory Toxicology and Pharmacology 33:205-217.</w:t>
      </w:r>
    </w:p>
    <w:p w14:paraId="75B131E4" w14:textId="77777777" w:rsidR="00086BE1" w:rsidRPr="00A92233" w:rsidRDefault="00086BE1" w:rsidP="00086BE1">
      <w:pPr>
        <w:rPr>
          <w:sz w:val="20"/>
          <w:szCs w:val="20"/>
          <w:lang w:val="en-GB"/>
        </w:rPr>
      </w:pPr>
    </w:p>
    <w:p w14:paraId="29D3F21D" w14:textId="44C404E5" w:rsidR="00086BE1" w:rsidRPr="00A92233" w:rsidRDefault="00086BE1" w:rsidP="00A55CC0">
      <w:pPr>
        <w:keepNext/>
        <w:keepLines/>
        <w:rPr>
          <w:sz w:val="20"/>
          <w:szCs w:val="20"/>
          <w:lang w:val="en-GB"/>
        </w:rPr>
      </w:pPr>
      <w:r w:rsidRPr="00A92233">
        <w:rPr>
          <w:sz w:val="20"/>
          <w:szCs w:val="20"/>
          <w:lang w:val="en-GB"/>
        </w:rPr>
        <w:t xml:space="preserve">Hammond BG, Mayhew DA, Kier LD, Mast RW and Sander WJ (2002) Safety assessment of DHA-rich microalgae from </w:t>
      </w:r>
      <w:r w:rsidRPr="00A92233">
        <w:rPr>
          <w:i/>
          <w:sz w:val="20"/>
          <w:szCs w:val="20"/>
          <w:lang w:val="en-GB"/>
        </w:rPr>
        <w:t>Schizochytrium</w:t>
      </w:r>
      <w:r w:rsidRPr="00A92233">
        <w:rPr>
          <w:sz w:val="20"/>
          <w:szCs w:val="20"/>
          <w:lang w:val="en-GB"/>
        </w:rPr>
        <w:t xml:space="preserve"> sp. IV. Mutagenicity studies. Regulatory Toxicology and Pharmacology 35: 255-265</w:t>
      </w:r>
    </w:p>
    <w:p w14:paraId="03F900A0" w14:textId="5CD5FF47" w:rsidR="00255D57" w:rsidRPr="00A92233" w:rsidRDefault="00255D57" w:rsidP="00086BE1">
      <w:pPr>
        <w:widowControl/>
        <w:rPr>
          <w:rFonts w:eastAsia="Calibri"/>
          <w:sz w:val="20"/>
          <w:szCs w:val="20"/>
          <w:lang w:val="en-GB" w:bidi="ar-SA"/>
        </w:rPr>
      </w:pPr>
    </w:p>
    <w:p w14:paraId="6343EC1C" w14:textId="713D18E2" w:rsidR="00C04F3F" w:rsidRPr="00A92233" w:rsidRDefault="00C04F3F" w:rsidP="00C04F3F">
      <w:pPr>
        <w:rPr>
          <w:sz w:val="20"/>
          <w:lang w:val="en-GB"/>
        </w:rPr>
      </w:pPr>
      <w:r w:rsidRPr="00A92233">
        <w:rPr>
          <w:sz w:val="20"/>
          <w:lang w:val="en-GB"/>
        </w:rPr>
        <w:t>Hoffman DR, Birch EE, Birch DG, et al. (2000). Impact of early dietary intake and blood lipid composition of long-chain polyunsaturated fatty acids on later visual development. J Pediatr Gastroenterol Nutr. 31(5):540-553.</w:t>
      </w:r>
    </w:p>
    <w:p w14:paraId="4367693D" w14:textId="77777777" w:rsidR="00C04F3F" w:rsidRPr="00A92233" w:rsidRDefault="00C04F3F" w:rsidP="00C04F3F">
      <w:pPr>
        <w:rPr>
          <w:rFonts w:eastAsia="Calibri"/>
          <w:sz w:val="20"/>
          <w:lang w:val="en-GB"/>
        </w:rPr>
      </w:pPr>
    </w:p>
    <w:p w14:paraId="793E233C" w14:textId="2EFC99B6"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Innis SM (2008) Dietary omega 3 fatty acids and the developing brain. Brain Research 1237: 35-43</w:t>
      </w:r>
    </w:p>
    <w:p w14:paraId="5FDA9F1E" w14:textId="77777777" w:rsidR="00086BE1" w:rsidRPr="00A92233" w:rsidRDefault="00086BE1" w:rsidP="00086BE1">
      <w:pPr>
        <w:rPr>
          <w:sz w:val="20"/>
          <w:szCs w:val="20"/>
          <w:lang w:val="en-GB"/>
        </w:rPr>
      </w:pPr>
    </w:p>
    <w:p w14:paraId="553A8988" w14:textId="77777777" w:rsidR="00BE3399" w:rsidRDefault="00BE3399" w:rsidP="00086BE1">
      <w:pPr>
        <w:tabs>
          <w:tab w:val="left" w:pos="0"/>
        </w:tabs>
        <w:spacing w:after="240"/>
        <w:rPr>
          <w:rFonts w:cs="Arial"/>
          <w:noProof/>
          <w:sz w:val="20"/>
          <w:szCs w:val="20"/>
          <w:lang w:val="en-GB"/>
        </w:rPr>
      </w:pPr>
      <w:r>
        <w:rPr>
          <w:rFonts w:cs="Arial"/>
          <w:noProof/>
          <w:sz w:val="20"/>
          <w:szCs w:val="20"/>
          <w:lang w:val="en-GB"/>
        </w:rPr>
        <w:br w:type="page"/>
      </w:r>
    </w:p>
    <w:p w14:paraId="11F268E3" w14:textId="3B400E19" w:rsidR="00086BE1" w:rsidRPr="00A92233" w:rsidRDefault="00086BE1" w:rsidP="00086BE1">
      <w:pPr>
        <w:tabs>
          <w:tab w:val="left" w:pos="0"/>
        </w:tabs>
        <w:spacing w:after="240"/>
        <w:rPr>
          <w:rFonts w:cs="Arial"/>
          <w:noProof/>
          <w:sz w:val="20"/>
          <w:szCs w:val="20"/>
          <w:lang w:val="en-GB"/>
        </w:rPr>
      </w:pPr>
      <w:r w:rsidRPr="00A92233">
        <w:rPr>
          <w:rFonts w:cs="Arial"/>
          <w:noProof/>
          <w:sz w:val="20"/>
          <w:szCs w:val="20"/>
          <w:lang w:val="en-GB"/>
        </w:rPr>
        <w:lastRenderedPageBreak/>
        <w:t>OM (2002) Dietary Reference Intakes for energy, carbohydrates, fiber, fat, fatty acids, cholesterol, protein and amino acids. Food and Nutrition Board: Institute of Medicine National Academy Press, Washington D.C.</w:t>
      </w:r>
    </w:p>
    <w:p w14:paraId="599D85CB" w14:textId="2BA1B0C3"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Janssen CIF and Kiliaan AJ (2014) Long-chain polyunsaturated fatty acids (LCPUFA) from genesis to senescence: The influence of LCPUFA on neural development, aging and neurodegeneration. Progress in Lipid Research 53: 1-17</w:t>
      </w:r>
    </w:p>
    <w:p w14:paraId="0B2293BE" w14:textId="77777777" w:rsidR="00086BE1" w:rsidRPr="00A92233" w:rsidRDefault="00086BE1" w:rsidP="00086BE1">
      <w:pPr>
        <w:widowControl/>
        <w:rPr>
          <w:rFonts w:eastAsia="Calibri"/>
          <w:sz w:val="20"/>
          <w:szCs w:val="20"/>
          <w:lang w:val="en-GB" w:bidi="ar-SA"/>
        </w:rPr>
      </w:pPr>
    </w:p>
    <w:p w14:paraId="144CF684" w14:textId="77777777" w:rsidR="00086BE1" w:rsidRPr="00A92233" w:rsidRDefault="00086BE1" w:rsidP="00086BE1">
      <w:pPr>
        <w:rPr>
          <w:sz w:val="20"/>
          <w:szCs w:val="20"/>
          <w:lang w:val="en-GB"/>
        </w:rPr>
      </w:pPr>
      <w:r w:rsidRPr="00A92233">
        <w:rPr>
          <w:sz w:val="20"/>
          <w:szCs w:val="20"/>
          <w:lang w:val="en-GB"/>
        </w:rPr>
        <w:t>Jensen RG (1996) The lipids in human milk. Prog Lipid Res 35(1):53</w:t>
      </w:r>
      <w:r w:rsidRPr="00A92233">
        <w:rPr>
          <w:rFonts w:cs="Arial"/>
          <w:noProof/>
          <w:sz w:val="20"/>
          <w:szCs w:val="20"/>
          <w:lang w:val="en-GB"/>
        </w:rPr>
        <w:t>–92.</w:t>
      </w:r>
    </w:p>
    <w:p w14:paraId="657D55AF" w14:textId="77777777" w:rsidR="00086BE1" w:rsidRPr="00A92233" w:rsidRDefault="00086BE1" w:rsidP="00086BE1">
      <w:pPr>
        <w:widowControl/>
        <w:rPr>
          <w:rFonts w:eastAsia="Calibri"/>
          <w:sz w:val="20"/>
          <w:szCs w:val="20"/>
          <w:lang w:val="en-GB" w:bidi="ar-SA"/>
        </w:rPr>
      </w:pPr>
    </w:p>
    <w:p w14:paraId="2685028B" w14:textId="77777777" w:rsidR="00086BE1" w:rsidRPr="00A92233" w:rsidRDefault="00086BE1" w:rsidP="00086BE1">
      <w:pPr>
        <w:tabs>
          <w:tab w:val="left" w:pos="0"/>
        </w:tabs>
        <w:spacing w:after="240"/>
        <w:rPr>
          <w:rFonts w:cs="Arial"/>
          <w:noProof/>
          <w:sz w:val="20"/>
          <w:szCs w:val="20"/>
          <w:lang w:val="en-GB"/>
        </w:rPr>
      </w:pPr>
      <w:r w:rsidRPr="00A92233">
        <w:rPr>
          <w:rFonts w:cs="Arial"/>
          <w:noProof/>
          <w:sz w:val="20"/>
          <w:szCs w:val="20"/>
          <w:lang w:val="en-GB"/>
        </w:rPr>
        <w:t>Koletzko B, Lien E, Agostoni C, Bohles H, Campoy C, Cetin I, Decsi T, Dudenhausen JW, Dupont C, Forsyth S, Hoesli I, Holzgreve W, Lapillonne A, Putet G, Secher NJ, Symonds M, Szajewska H, Willatts P, Uauy R (2008) The roles of long-chain polyunsaturated fatty acids in pregnancy, lactation and infancy: review of current knowledge and consensus recommendations. J Perinat Med 36(1):5–14</w:t>
      </w:r>
    </w:p>
    <w:p w14:paraId="57BF5F7E" w14:textId="7192DDBD" w:rsidR="00086BE1" w:rsidRPr="00A92233" w:rsidRDefault="00086BE1" w:rsidP="00086BE1">
      <w:pPr>
        <w:rPr>
          <w:rFonts w:cs="Arial"/>
          <w:noProof/>
          <w:sz w:val="20"/>
          <w:szCs w:val="20"/>
          <w:lang w:val="en-GB"/>
        </w:rPr>
      </w:pPr>
      <w:r w:rsidRPr="00A92233">
        <w:rPr>
          <w:sz w:val="20"/>
          <w:szCs w:val="20"/>
          <w:lang w:val="en-GB"/>
        </w:rPr>
        <w:t>Lauritzen L, Hansen HS, Jorgensen MH, Michaelson KE (2001) The essentiality of long-chain n-3 fatty acids in relation to development and function of the brain and retina. Prog Lip Res 40(1-2):1</w:t>
      </w:r>
      <w:r w:rsidRPr="00A92233">
        <w:rPr>
          <w:rFonts w:cs="Arial"/>
          <w:noProof/>
          <w:sz w:val="20"/>
          <w:szCs w:val="20"/>
          <w:lang w:val="en-GB"/>
        </w:rPr>
        <w:t>–94.</w:t>
      </w:r>
    </w:p>
    <w:p w14:paraId="63BF4C2C" w14:textId="77777777" w:rsidR="00086BE1" w:rsidRPr="00A92233" w:rsidRDefault="00086BE1" w:rsidP="00086BE1">
      <w:pPr>
        <w:rPr>
          <w:rFonts w:cs="Arial"/>
          <w:noProof/>
          <w:sz w:val="20"/>
          <w:szCs w:val="20"/>
          <w:lang w:val="en-GB"/>
        </w:rPr>
      </w:pPr>
    </w:p>
    <w:p w14:paraId="3CDA274D" w14:textId="77777777" w:rsidR="00086BE1" w:rsidRPr="00A92233" w:rsidRDefault="00086BE1" w:rsidP="00086BE1">
      <w:pPr>
        <w:rPr>
          <w:sz w:val="20"/>
          <w:szCs w:val="20"/>
          <w:lang w:val="en-GB"/>
        </w:rPr>
      </w:pPr>
      <w:r w:rsidRPr="00A92233">
        <w:rPr>
          <w:sz w:val="20"/>
          <w:szCs w:val="20"/>
          <w:lang w:val="en-GB"/>
        </w:rPr>
        <w:t>Lauritzen L, Carlson SE (2011) Maternal fatty acid status during pregnancy and lactation and relation to newborn and infant status. Matern Child Nutr (7) sup 2:41</w:t>
      </w:r>
      <w:r w:rsidRPr="00A92233">
        <w:rPr>
          <w:rFonts w:cs="Arial"/>
          <w:noProof/>
          <w:sz w:val="20"/>
          <w:szCs w:val="20"/>
          <w:lang w:val="en-GB"/>
        </w:rPr>
        <w:t>–58.</w:t>
      </w:r>
    </w:p>
    <w:p w14:paraId="18227D5B" w14:textId="77777777" w:rsidR="00086BE1" w:rsidRPr="00A92233" w:rsidRDefault="00086BE1" w:rsidP="00086BE1">
      <w:pPr>
        <w:rPr>
          <w:sz w:val="20"/>
          <w:szCs w:val="20"/>
          <w:lang w:val="en-GB"/>
        </w:rPr>
      </w:pPr>
    </w:p>
    <w:p w14:paraId="59BBD4A8" w14:textId="77777777" w:rsidR="00255D57" w:rsidRPr="00A92233" w:rsidRDefault="00255D57" w:rsidP="00A55CC0">
      <w:pPr>
        <w:widowControl/>
        <w:rPr>
          <w:rFonts w:eastAsia="Calibri"/>
          <w:iCs/>
          <w:sz w:val="20"/>
          <w:szCs w:val="20"/>
          <w:lang w:val="en-GB" w:bidi="ar-SA"/>
        </w:rPr>
      </w:pPr>
      <w:r w:rsidRPr="00A92233">
        <w:rPr>
          <w:rFonts w:eastAsia="Calibri"/>
          <w:iCs/>
          <w:sz w:val="20"/>
          <w:szCs w:val="20"/>
          <w:lang w:val="en-GB" w:bidi="ar-SA"/>
        </w:rPr>
        <w:t>Leipe et al., 1994. The stramenopiles from a molecular perspective: 16S-like rRNA sequences from Labyrinthuloides minuta and Cafeteria roenbergensis. Phycologia 33: 369-377.</w:t>
      </w:r>
    </w:p>
    <w:p w14:paraId="22402A73" w14:textId="77777777" w:rsidR="00A55CC0" w:rsidRPr="00A92233" w:rsidRDefault="00A55CC0" w:rsidP="00A55CC0">
      <w:pPr>
        <w:rPr>
          <w:noProof/>
          <w:sz w:val="20"/>
          <w:szCs w:val="20"/>
          <w:lang w:val="en-GB"/>
        </w:rPr>
      </w:pPr>
    </w:p>
    <w:p w14:paraId="7E2FD15D" w14:textId="77777777" w:rsidR="00086BE1" w:rsidRPr="00A92233" w:rsidRDefault="00086BE1" w:rsidP="00086BE1">
      <w:pPr>
        <w:keepNext/>
        <w:keepLines/>
        <w:tabs>
          <w:tab w:val="left" w:pos="0"/>
        </w:tabs>
        <w:spacing w:after="240"/>
        <w:rPr>
          <w:rFonts w:cs="Arial"/>
          <w:noProof/>
          <w:sz w:val="20"/>
          <w:szCs w:val="20"/>
          <w:lang w:val="en-GB"/>
        </w:rPr>
      </w:pPr>
      <w:r w:rsidRPr="00A92233">
        <w:rPr>
          <w:rFonts w:cs="Arial"/>
          <w:noProof/>
          <w:sz w:val="20"/>
          <w:szCs w:val="20"/>
          <w:lang w:val="en-GB"/>
        </w:rPr>
        <w:t>Makrides M, Neumann MA, Byard RW, Simmer K, Gibson RA (1994) Fatty acid composition of brain, retina, and erythrocytes in breast- and formula-fed infants. Am J Clin Nutr 60(2):189–194</w:t>
      </w:r>
    </w:p>
    <w:p w14:paraId="0B7FDDAA" w14:textId="036CA4B3" w:rsidR="00086BE1" w:rsidRPr="00A92233" w:rsidRDefault="00086BE1" w:rsidP="00086BE1">
      <w:pPr>
        <w:rPr>
          <w:rFonts w:cs="Arial"/>
          <w:noProof/>
          <w:sz w:val="20"/>
          <w:szCs w:val="20"/>
          <w:lang w:val="en-GB"/>
        </w:rPr>
      </w:pPr>
      <w:r w:rsidRPr="00A92233">
        <w:rPr>
          <w:sz w:val="20"/>
          <w:szCs w:val="20"/>
          <w:lang w:val="en-GB"/>
        </w:rPr>
        <w:t>Makrides M, Neumann MA</w:t>
      </w:r>
      <w:r w:rsidRPr="00A92233">
        <w:rPr>
          <w:i/>
          <w:sz w:val="20"/>
          <w:szCs w:val="20"/>
          <w:lang w:val="en-GB"/>
        </w:rPr>
        <w:t xml:space="preserve">, </w:t>
      </w:r>
      <w:r w:rsidRPr="00A92233">
        <w:rPr>
          <w:sz w:val="20"/>
          <w:szCs w:val="20"/>
          <w:lang w:val="en-GB"/>
        </w:rPr>
        <w:t xml:space="preserve">Gibson RA (1996) Effect of maternal </w:t>
      </w:r>
      <w:r w:rsidR="00580DE2" w:rsidRPr="00A92233">
        <w:rPr>
          <w:sz w:val="20"/>
          <w:szCs w:val="20"/>
          <w:lang w:val="en-GB"/>
        </w:rPr>
        <w:t>DHA</w:t>
      </w:r>
      <w:r w:rsidRPr="00A92233">
        <w:rPr>
          <w:sz w:val="20"/>
          <w:szCs w:val="20"/>
          <w:lang w:val="en-GB"/>
        </w:rPr>
        <w:t xml:space="preserve"> supplementation on breast milk composition. Eur J Clin Nutr 50:352</w:t>
      </w:r>
      <w:r w:rsidRPr="00A92233">
        <w:rPr>
          <w:rFonts w:cs="Arial"/>
          <w:noProof/>
          <w:sz w:val="20"/>
          <w:szCs w:val="20"/>
          <w:lang w:val="en-GB"/>
        </w:rPr>
        <w:t>–357.</w:t>
      </w:r>
    </w:p>
    <w:p w14:paraId="4367866B" w14:textId="77777777" w:rsidR="00086BE1" w:rsidRPr="00A92233" w:rsidRDefault="00086BE1" w:rsidP="00086BE1">
      <w:pPr>
        <w:rPr>
          <w:rFonts w:cs="Arial"/>
          <w:noProof/>
          <w:sz w:val="20"/>
          <w:szCs w:val="20"/>
          <w:lang w:val="en-GB"/>
        </w:rPr>
      </w:pPr>
    </w:p>
    <w:p w14:paraId="759C9188" w14:textId="77777777" w:rsidR="00086BE1" w:rsidRPr="00A92233" w:rsidRDefault="00086BE1" w:rsidP="00086BE1">
      <w:pPr>
        <w:rPr>
          <w:sz w:val="20"/>
          <w:szCs w:val="20"/>
          <w:lang w:val="en-GB"/>
        </w:rPr>
      </w:pPr>
      <w:r w:rsidRPr="00A92233">
        <w:rPr>
          <w:sz w:val="20"/>
          <w:szCs w:val="20"/>
          <w:lang w:val="en-GB"/>
        </w:rPr>
        <w:t>Makrides M, Nuemann MA, Simmer K, Gibson RA (1999) Dietary long-chain polyunsaturated fatty acids do not influence growth of term infants: A randomized clinical trial. Paediatrics. 104(3):468</w:t>
      </w:r>
      <w:r w:rsidRPr="00A92233">
        <w:rPr>
          <w:rFonts w:cs="Arial"/>
          <w:noProof/>
          <w:sz w:val="20"/>
          <w:szCs w:val="20"/>
          <w:lang w:val="en-GB"/>
        </w:rPr>
        <w:t>–475.</w:t>
      </w:r>
    </w:p>
    <w:p w14:paraId="1288065F" w14:textId="77777777" w:rsidR="00086BE1" w:rsidRPr="00A92233" w:rsidRDefault="00086BE1" w:rsidP="00086BE1">
      <w:pPr>
        <w:rPr>
          <w:sz w:val="20"/>
          <w:szCs w:val="20"/>
          <w:lang w:val="en-GB"/>
        </w:rPr>
      </w:pPr>
    </w:p>
    <w:p w14:paraId="076916A6" w14:textId="77777777" w:rsidR="00086BE1" w:rsidRPr="00A92233" w:rsidRDefault="00086BE1" w:rsidP="00086BE1">
      <w:pPr>
        <w:tabs>
          <w:tab w:val="left" w:pos="0"/>
        </w:tabs>
        <w:spacing w:after="240"/>
        <w:rPr>
          <w:rFonts w:cs="Arial"/>
          <w:noProof/>
          <w:sz w:val="20"/>
          <w:szCs w:val="20"/>
          <w:lang w:val="en-GB"/>
        </w:rPr>
      </w:pPr>
      <w:r w:rsidRPr="00A92233">
        <w:rPr>
          <w:rFonts w:cs="Arial"/>
          <w:noProof/>
          <w:sz w:val="20"/>
          <w:szCs w:val="20"/>
          <w:lang w:val="en-GB"/>
        </w:rPr>
        <w:t>Makrides M, Neumann MA, Jeffrey B, Lien EL, Gibson RA (2000) A randomized trial of different ratios of linoleic to alpha-linolenic acid in the diet of term infants: effects on visual function and growth. Am J Clin Nutr 71(1):120–129</w:t>
      </w:r>
    </w:p>
    <w:p w14:paraId="65969141" w14:textId="77777777" w:rsidR="00086BE1" w:rsidRPr="00A92233" w:rsidRDefault="00086BE1" w:rsidP="00086BE1">
      <w:pPr>
        <w:rPr>
          <w:sz w:val="20"/>
          <w:szCs w:val="20"/>
          <w:lang w:val="en-GB"/>
        </w:rPr>
      </w:pPr>
      <w:r w:rsidRPr="00A92233">
        <w:rPr>
          <w:sz w:val="20"/>
          <w:szCs w:val="20"/>
          <w:lang w:val="en-GB"/>
        </w:rPr>
        <w:t>Mansson HL (2008) Fatty acids in bovine milk fat. Food and Nutrition Research. DOI 10.3402/fnr.v52i0.1821</w:t>
      </w:r>
    </w:p>
    <w:p w14:paraId="1ADCDFDE" w14:textId="77777777" w:rsidR="00086BE1" w:rsidRPr="00A92233" w:rsidRDefault="00086BE1" w:rsidP="00086BE1">
      <w:pPr>
        <w:widowControl/>
        <w:rPr>
          <w:rFonts w:eastAsia="Calibri"/>
          <w:sz w:val="20"/>
          <w:szCs w:val="20"/>
          <w:lang w:val="en-GB" w:bidi="ar-SA"/>
        </w:rPr>
      </w:pPr>
    </w:p>
    <w:p w14:paraId="488A8F14" w14:textId="3A7C6D8B"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Morse NL (2012) Benefits of docosahexaenoic acid, folic acid, vitamin D and iodine on foetal and infant brain development and function following maternal supplementation during pregnancy and lactation. Nutrients 4: 799-840</w:t>
      </w:r>
    </w:p>
    <w:p w14:paraId="2F706972" w14:textId="77777777" w:rsidR="002129F9" w:rsidRPr="00A92233" w:rsidRDefault="002129F9" w:rsidP="00086BE1">
      <w:pPr>
        <w:widowControl/>
        <w:rPr>
          <w:rFonts w:eastAsia="Calibri"/>
          <w:sz w:val="20"/>
          <w:szCs w:val="20"/>
          <w:lang w:val="en-GB" w:bidi="ar-SA"/>
        </w:rPr>
      </w:pPr>
    </w:p>
    <w:p w14:paraId="7FEBB772" w14:textId="7A875F8D" w:rsidR="00106F8E" w:rsidRPr="00A92233" w:rsidRDefault="00106F8E" w:rsidP="00173FEF">
      <w:pPr>
        <w:rPr>
          <w:sz w:val="20"/>
          <w:szCs w:val="20"/>
          <w:lang w:val="en-GB"/>
        </w:rPr>
      </w:pPr>
      <w:r w:rsidRPr="00A92233">
        <w:rPr>
          <w:sz w:val="20"/>
          <w:szCs w:val="20"/>
          <w:lang w:val="en-GB"/>
        </w:rPr>
        <w:t>National Health and Medical Research Council (NHMRC)</w:t>
      </w:r>
      <w:r w:rsidR="0017612B" w:rsidRPr="00A92233">
        <w:rPr>
          <w:sz w:val="20"/>
          <w:szCs w:val="20"/>
          <w:lang w:val="en-GB"/>
        </w:rPr>
        <w:t xml:space="preserve"> and Ministry of Health (MoH)</w:t>
      </w:r>
      <w:r w:rsidRPr="00A92233">
        <w:rPr>
          <w:sz w:val="20"/>
          <w:szCs w:val="20"/>
          <w:lang w:val="en-GB"/>
        </w:rPr>
        <w:t xml:space="preserve"> (2006). Nutrient reference values for Australia and New Zealand including recommended dietary intakes. Canberra, National Health and Medical Research Council.</w:t>
      </w:r>
      <w:r w:rsidR="0017612B" w:rsidRPr="00A92233">
        <w:rPr>
          <w:sz w:val="20"/>
          <w:szCs w:val="20"/>
          <w:lang w:val="en-GB"/>
        </w:rPr>
        <w:t xml:space="preserve"> </w:t>
      </w:r>
      <w:hyperlink r:id="rId33" w:history="1">
        <w:r w:rsidR="0017612B" w:rsidRPr="00A92233">
          <w:rPr>
            <w:rStyle w:val="Hyperlink"/>
            <w:rFonts w:cs="Arial"/>
            <w:noProof/>
            <w:sz w:val="20"/>
            <w:szCs w:val="20"/>
            <w:lang w:val="en-GB"/>
          </w:rPr>
          <w:t>https://www.nrv.gov.au/home</w:t>
        </w:r>
      </w:hyperlink>
    </w:p>
    <w:p w14:paraId="6EDDE372" w14:textId="2A9CAA98" w:rsidR="0019035D" w:rsidRPr="00A92233" w:rsidRDefault="0019035D" w:rsidP="00173FEF">
      <w:pPr>
        <w:rPr>
          <w:sz w:val="20"/>
          <w:szCs w:val="20"/>
          <w:lang w:val="en-GB"/>
        </w:rPr>
      </w:pPr>
    </w:p>
    <w:p w14:paraId="26F4E986" w14:textId="272CDF64" w:rsidR="00276891" w:rsidRPr="00A92233" w:rsidRDefault="00276891" w:rsidP="00276891">
      <w:pPr>
        <w:rPr>
          <w:sz w:val="20"/>
          <w:szCs w:val="20"/>
          <w:lang w:val="en-GB"/>
        </w:rPr>
      </w:pPr>
      <w:r w:rsidRPr="00A92233">
        <w:rPr>
          <w:sz w:val="20"/>
          <w:szCs w:val="20"/>
          <w:lang w:val="en-GB"/>
        </w:rPr>
        <w:t>O'Conner DL, Hall R, Adamkin D (2001) Growth and development in preterm infants fed long-chain polyunsaturated fatty acids: a prospective, randomized controlled trial. Pediatrics. 108(2):359</w:t>
      </w:r>
      <w:r w:rsidRPr="00A92233">
        <w:rPr>
          <w:rFonts w:cs="Arial"/>
          <w:noProof/>
          <w:sz w:val="20"/>
          <w:szCs w:val="20"/>
          <w:lang w:val="en-GB"/>
        </w:rPr>
        <w:t>–371.</w:t>
      </w:r>
    </w:p>
    <w:p w14:paraId="75FE7E0A" w14:textId="77777777" w:rsidR="00276891" w:rsidRPr="00A92233" w:rsidRDefault="00276891" w:rsidP="00173FEF">
      <w:pPr>
        <w:rPr>
          <w:sz w:val="20"/>
          <w:szCs w:val="20"/>
          <w:lang w:val="en-GB"/>
        </w:rPr>
      </w:pPr>
    </w:p>
    <w:p w14:paraId="59413D6A" w14:textId="57B84F51" w:rsidR="00276891" w:rsidRPr="00A92233" w:rsidRDefault="00276891" w:rsidP="00173FEF">
      <w:pPr>
        <w:rPr>
          <w:sz w:val="20"/>
          <w:szCs w:val="20"/>
          <w:lang w:val="en-GB"/>
        </w:rPr>
      </w:pPr>
      <w:r w:rsidRPr="00A92233">
        <w:rPr>
          <w:sz w:val="20"/>
          <w:szCs w:val="20"/>
          <w:lang w:val="en-GB"/>
        </w:rPr>
        <w:t>Patterson AC, Maditz KH, Wampler J, Kirchoff A, Zissman A, Berseth CL (2016) Growth and tolerance of a routine infant formula with an alternative DHA source fed to term infants. Abstract from the Experimental Biology 2016 Meeting. The FASEB Journal 30(1) sup. 671.1</w:t>
      </w:r>
    </w:p>
    <w:p w14:paraId="5D3138C3" w14:textId="77777777" w:rsidR="00276891" w:rsidRPr="00A92233" w:rsidRDefault="00276891" w:rsidP="00173FEF">
      <w:pPr>
        <w:rPr>
          <w:sz w:val="20"/>
          <w:szCs w:val="20"/>
          <w:lang w:val="en-GB"/>
        </w:rPr>
      </w:pPr>
    </w:p>
    <w:p w14:paraId="3BF8AFE6" w14:textId="77777777"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 xml:space="preserve">Pelliccia F, Marazzi G, Greco C, Franzoni F, Speziale G and Gaudio C (2013). Current evidence and future perspectives on </w:t>
      </w:r>
      <w:r w:rsidRPr="00A92233">
        <w:rPr>
          <w:rFonts w:eastAsia="Calibri"/>
          <w:i/>
          <w:sz w:val="20"/>
          <w:szCs w:val="20"/>
          <w:lang w:val="en-GB" w:bidi="ar-SA"/>
        </w:rPr>
        <w:t>n</w:t>
      </w:r>
      <w:r w:rsidRPr="00A92233">
        <w:rPr>
          <w:rFonts w:eastAsia="Calibri"/>
          <w:sz w:val="20"/>
          <w:szCs w:val="20"/>
          <w:lang w:val="en-GB" w:bidi="ar-SA"/>
        </w:rPr>
        <w:t xml:space="preserve">-3 PUFAs. </w:t>
      </w:r>
      <w:r w:rsidRPr="00A92233">
        <w:rPr>
          <w:rFonts w:eastAsia="Calibri"/>
          <w:i/>
          <w:sz w:val="20"/>
          <w:szCs w:val="20"/>
          <w:lang w:val="en-GB" w:bidi="ar-SA"/>
        </w:rPr>
        <w:t>International Journal of Cardiology</w:t>
      </w:r>
      <w:r w:rsidRPr="00A92233">
        <w:rPr>
          <w:rFonts w:eastAsia="Calibri"/>
          <w:sz w:val="20"/>
          <w:szCs w:val="20"/>
          <w:lang w:val="en-GB" w:bidi="ar-SA"/>
        </w:rPr>
        <w:t xml:space="preserve"> </w:t>
      </w:r>
      <w:r w:rsidRPr="00A92233">
        <w:rPr>
          <w:rFonts w:eastAsia="Calibri"/>
          <w:b/>
          <w:sz w:val="20"/>
          <w:szCs w:val="20"/>
          <w:lang w:val="en-GB" w:bidi="ar-SA"/>
        </w:rPr>
        <w:t>170</w:t>
      </w:r>
      <w:r w:rsidRPr="00A92233">
        <w:rPr>
          <w:rFonts w:eastAsia="Calibri"/>
          <w:sz w:val="20"/>
          <w:szCs w:val="20"/>
          <w:lang w:val="en-GB" w:bidi="ar-SA"/>
        </w:rPr>
        <w:t xml:space="preserve"> S3-S7</w:t>
      </w:r>
    </w:p>
    <w:p w14:paraId="4E80D721" w14:textId="77777777" w:rsidR="00086BE1" w:rsidRPr="00A92233" w:rsidRDefault="00086BE1" w:rsidP="00086BE1">
      <w:pPr>
        <w:widowControl/>
        <w:rPr>
          <w:rFonts w:eastAsia="Calibri"/>
          <w:sz w:val="20"/>
          <w:szCs w:val="20"/>
          <w:lang w:val="en-GB" w:bidi="ar-SA"/>
        </w:rPr>
      </w:pPr>
    </w:p>
    <w:p w14:paraId="7BC972DC" w14:textId="77777777" w:rsidR="00BE3399" w:rsidRDefault="00BE3399" w:rsidP="00BE7515">
      <w:pPr>
        <w:widowControl/>
        <w:rPr>
          <w:rFonts w:eastAsia="Calibri"/>
          <w:bCs/>
          <w:sz w:val="20"/>
          <w:szCs w:val="20"/>
          <w:lang w:val="en-GB" w:bidi="ar-SA"/>
        </w:rPr>
      </w:pPr>
      <w:r>
        <w:rPr>
          <w:rFonts w:eastAsia="Calibri"/>
          <w:bCs/>
          <w:sz w:val="20"/>
          <w:szCs w:val="20"/>
          <w:lang w:val="en-GB" w:bidi="ar-SA"/>
        </w:rPr>
        <w:br w:type="page"/>
      </w:r>
    </w:p>
    <w:p w14:paraId="7AE58E2F" w14:textId="250CEC14" w:rsidR="00BE7515" w:rsidRPr="00A92233" w:rsidRDefault="00BE7515" w:rsidP="00BE7515">
      <w:pPr>
        <w:widowControl/>
        <w:rPr>
          <w:rFonts w:eastAsia="Calibri"/>
          <w:sz w:val="20"/>
          <w:szCs w:val="20"/>
          <w:lang w:val="en-GB" w:bidi="ar-SA"/>
        </w:rPr>
      </w:pPr>
      <w:r w:rsidRPr="00A92233">
        <w:rPr>
          <w:rFonts w:eastAsia="Calibri"/>
          <w:bCs/>
          <w:sz w:val="20"/>
          <w:szCs w:val="20"/>
          <w:lang w:val="en-GB" w:bidi="ar-SA"/>
        </w:rPr>
        <w:lastRenderedPageBreak/>
        <w:t>Rodrigues R Al F, Rodrigues M V N, Oliveira T I V, Bueno C Z, de Oliveira SOUZA I M, Sartoratto A, Foglio M A (2011) Docosahexaenoic acid ethyl esther (DHAEE) microcapsule production by spray-drying: optimization by experimental design.</w:t>
      </w:r>
      <w:r w:rsidRPr="00A92233">
        <w:rPr>
          <w:rFonts w:eastAsia="Calibri"/>
          <w:sz w:val="20"/>
          <w:szCs w:val="20"/>
          <w:lang w:val="en-GB" w:bidi="ar-SA"/>
        </w:rPr>
        <w:t xml:space="preserve"> </w:t>
      </w:r>
      <w:hyperlink r:id="rId34" w:history="1">
        <w:r w:rsidRPr="00A92233">
          <w:rPr>
            <w:rStyle w:val="Hyperlink"/>
            <w:rFonts w:eastAsia="Calibri"/>
            <w:sz w:val="20"/>
            <w:szCs w:val="20"/>
            <w:lang w:val="en-GB" w:bidi="ar-SA"/>
          </w:rPr>
          <w:t>Food Science and Technology (Campinas)</w:t>
        </w:r>
      </w:hyperlink>
      <w:r w:rsidRPr="00A92233">
        <w:rPr>
          <w:rFonts w:eastAsia="Calibri"/>
          <w:color w:val="FF0000"/>
          <w:sz w:val="20"/>
          <w:szCs w:val="20"/>
          <w:lang w:val="en-GB" w:bidi="ar-SA"/>
        </w:rPr>
        <w:t>,</w:t>
      </w:r>
      <w:r w:rsidRPr="00A92233">
        <w:rPr>
          <w:rFonts w:eastAsia="Calibri"/>
          <w:sz w:val="20"/>
          <w:szCs w:val="20"/>
          <w:lang w:val="en-GB" w:bidi="ar-SA"/>
        </w:rPr>
        <w:t xml:space="preserve"> </w:t>
      </w:r>
      <w:r w:rsidR="00765BB6" w:rsidRPr="00A92233">
        <w:rPr>
          <w:rFonts w:eastAsia="Calibri"/>
          <w:sz w:val="20"/>
          <w:szCs w:val="20"/>
          <w:lang w:val="en-GB" w:bidi="ar-SA"/>
        </w:rPr>
        <w:t xml:space="preserve">available at </w:t>
      </w:r>
      <w:hyperlink r:id="rId35" w:history="1">
        <w:r w:rsidR="00765BB6" w:rsidRPr="00A92233">
          <w:rPr>
            <w:rStyle w:val="Hyperlink"/>
            <w:rFonts w:eastAsia="Calibri"/>
            <w:sz w:val="20"/>
            <w:szCs w:val="20"/>
            <w:lang w:val="en-GB" w:bidi="ar-SA"/>
          </w:rPr>
          <w:t>http://www.scielo.br/scielo.php?script=sci_arttext&amp;pid=S0101-20612011000300007</w:t>
        </w:r>
      </w:hyperlink>
      <w:r w:rsidR="00765BB6" w:rsidRPr="00A92233">
        <w:rPr>
          <w:rFonts w:eastAsia="Calibri"/>
          <w:sz w:val="20"/>
          <w:szCs w:val="20"/>
          <w:lang w:val="en-GB" w:bidi="ar-SA"/>
        </w:rPr>
        <w:t xml:space="preserve"> </w:t>
      </w:r>
    </w:p>
    <w:p w14:paraId="41FD5334" w14:textId="77777777" w:rsidR="00BE7515" w:rsidRPr="00A92233" w:rsidRDefault="00BE7515" w:rsidP="00086BE1">
      <w:pPr>
        <w:widowControl/>
        <w:rPr>
          <w:rFonts w:eastAsia="Calibri"/>
          <w:sz w:val="20"/>
          <w:szCs w:val="20"/>
          <w:lang w:val="en-GB" w:bidi="ar-SA"/>
        </w:rPr>
      </w:pPr>
    </w:p>
    <w:p w14:paraId="3FC9FF41" w14:textId="4E622EF3" w:rsidR="00086BE1" w:rsidRPr="00A92233" w:rsidRDefault="00086BE1" w:rsidP="00086BE1">
      <w:pPr>
        <w:widowControl/>
        <w:rPr>
          <w:rFonts w:eastAsia="Calibri"/>
          <w:sz w:val="20"/>
          <w:szCs w:val="20"/>
          <w:lang w:val="en-GB" w:bidi="ar-SA"/>
        </w:rPr>
      </w:pPr>
      <w:r w:rsidRPr="00A92233">
        <w:rPr>
          <w:rFonts w:eastAsia="Calibri"/>
          <w:sz w:val="20"/>
          <w:szCs w:val="20"/>
          <w:lang w:val="en-GB" w:bidi="ar-SA"/>
        </w:rPr>
        <w:t>Rogers LK, Valentine CJ and Keim SA (2013) DHA supplementation: Current implications in pregnancy and childhood. Pharmacological Research 70(1): 13-19</w:t>
      </w:r>
    </w:p>
    <w:p w14:paraId="43523A87" w14:textId="77777777" w:rsidR="00086BE1" w:rsidRPr="00A92233" w:rsidRDefault="00086BE1" w:rsidP="00086BE1">
      <w:pPr>
        <w:rPr>
          <w:sz w:val="20"/>
          <w:szCs w:val="20"/>
          <w:lang w:val="en-GB"/>
        </w:rPr>
      </w:pPr>
    </w:p>
    <w:p w14:paraId="70BEC04C" w14:textId="2D540642" w:rsidR="00276891" w:rsidRPr="00A92233" w:rsidRDefault="00276891" w:rsidP="00086BE1">
      <w:pPr>
        <w:rPr>
          <w:rFonts w:cs="Arial"/>
          <w:noProof/>
          <w:sz w:val="20"/>
          <w:szCs w:val="20"/>
          <w:lang w:val="en-GB"/>
        </w:rPr>
      </w:pPr>
      <w:r w:rsidRPr="00A92233">
        <w:rPr>
          <w:sz w:val="20"/>
          <w:szCs w:val="20"/>
          <w:lang w:val="en-GB"/>
        </w:rPr>
        <w:t>Rojas CV, Greiner RS, Fuenzalida LC, Martinez JI, Salem N, Uauy R (2002) Long term n-3 FA deficiency modifies peroxisome proliferator-activated receptor beta mRNA abundance in rat ocular tissue. Lipids 37(4):367</w:t>
      </w:r>
      <w:r w:rsidRPr="00A92233">
        <w:rPr>
          <w:rFonts w:cs="Arial"/>
          <w:noProof/>
          <w:sz w:val="20"/>
          <w:szCs w:val="20"/>
          <w:lang w:val="en-GB"/>
        </w:rPr>
        <w:t>–374.</w:t>
      </w:r>
    </w:p>
    <w:p w14:paraId="38DE8F44" w14:textId="77777777" w:rsidR="00276891" w:rsidRPr="00A92233" w:rsidRDefault="00276891" w:rsidP="00276891">
      <w:pPr>
        <w:rPr>
          <w:sz w:val="20"/>
          <w:szCs w:val="20"/>
          <w:lang w:val="en-GB"/>
        </w:rPr>
      </w:pPr>
    </w:p>
    <w:p w14:paraId="5FC6B50A" w14:textId="77777777" w:rsidR="00276891" w:rsidRPr="00A92233" w:rsidRDefault="00276891" w:rsidP="00276891">
      <w:pPr>
        <w:tabs>
          <w:tab w:val="left" w:pos="0"/>
        </w:tabs>
        <w:spacing w:after="240"/>
        <w:rPr>
          <w:rFonts w:cs="Arial"/>
          <w:noProof/>
          <w:sz w:val="20"/>
          <w:szCs w:val="20"/>
          <w:lang w:val="en-GB"/>
        </w:rPr>
      </w:pPr>
      <w:r w:rsidRPr="00A92233">
        <w:rPr>
          <w:rFonts w:cs="Arial"/>
          <w:noProof/>
          <w:sz w:val="20"/>
          <w:szCs w:val="20"/>
          <w:lang w:val="en-GB"/>
        </w:rPr>
        <w:t>Simmer K, Patole SK, Rao SC (2011) Long-chain polyunsaturated fatty acid supplementation in infants born at term. Cochrane Database Syst Rev(12):CD000376</w:t>
      </w:r>
    </w:p>
    <w:p w14:paraId="5BE375E2" w14:textId="77777777" w:rsidR="00276891" w:rsidRPr="00A92233" w:rsidRDefault="00276891" w:rsidP="00CE7FB6">
      <w:pPr>
        <w:keepNext/>
        <w:keepLines/>
        <w:rPr>
          <w:rFonts w:cs="Arial"/>
          <w:noProof/>
          <w:sz w:val="20"/>
          <w:szCs w:val="20"/>
          <w:lang w:val="en-GB"/>
        </w:rPr>
      </w:pPr>
      <w:r w:rsidRPr="00A92233">
        <w:rPr>
          <w:sz w:val="20"/>
          <w:szCs w:val="20"/>
          <w:lang w:val="en-GB"/>
        </w:rPr>
        <w:t xml:space="preserve">Saurewald TDL, Hachey CL, Jensen CL, Chen H, Anderson RE, Heird WC (1996) Effect of dietary </w:t>
      </w:r>
      <w:r w:rsidRPr="00A92233">
        <w:rPr>
          <w:rFonts w:cs="Arial"/>
          <w:sz w:val="20"/>
          <w:szCs w:val="20"/>
          <w:lang w:val="en-GB"/>
        </w:rPr>
        <w:t>α</w:t>
      </w:r>
      <w:r w:rsidRPr="00A92233">
        <w:rPr>
          <w:sz w:val="20"/>
          <w:szCs w:val="20"/>
          <w:lang w:val="en-GB"/>
        </w:rPr>
        <w:t>-linolenic acid intake on incorporation of docosahexaenoic and arachidonic acids into plasma phospholipids of term infants. Lipids. 31:S131</w:t>
      </w:r>
      <w:r w:rsidRPr="00A92233">
        <w:rPr>
          <w:rFonts w:cs="Arial"/>
          <w:noProof/>
          <w:sz w:val="20"/>
          <w:szCs w:val="20"/>
          <w:lang w:val="en-GB"/>
        </w:rPr>
        <w:t>–S135.</w:t>
      </w:r>
    </w:p>
    <w:p w14:paraId="6C019E76" w14:textId="77777777" w:rsidR="00765BB6" w:rsidRPr="00A92233" w:rsidRDefault="00765BB6" w:rsidP="00276891">
      <w:pPr>
        <w:rPr>
          <w:sz w:val="20"/>
          <w:szCs w:val="20"/>
          <w:lang w:val="en-GB"/>
        </w:rPr>
      </w:pPr>
    </w:p>
    <w:p w14:paraId="59B1DF78" w14:textId="77777777" w:rsidR="00276891" w:rsidRPr="00A92233" w:rsidRDefault="00276891" w:rsidP="00276891">
      <w:pPr>
        <w:tabs>
          <w:tab w:val="left" w:pos="0"/>
        </w:tabs>
        <w:spacing w:after="240"/>
        <w:rPr>
          <w:rFonts w:cs="Arial"/>
          <w:noProof/>
          <w:sz w:val="20"/>
          <w:szCs w:val="20"/>
          <w:lang w:val="en-GB"/>
        </w:rPr>
      </w:pPr>
      <w:r w:rsidRPr="00A92233">
        <w:rPr>
          <w:rFonts w:cs="Arial"/>
          <w:noProof/>
          <w:sz w:val="20"/>
          <w:szCs w:val="20"/>
          <w:lang w:val="en-GB"/>
        </w:rPr>
        <w:t>Sun H, Como PG, Downey LC, Murphy D, Ariagno RL, Rodriguez W (2015) Infant formula and neurocognitive outcomes: impact of study end-point selection. J Perinatol 35(10):867–74</w:t>
      </w:r>
    </w:p>
    <w:p w14:paraId="28B72300" w14:textId="1D778335" w:rsidR="00700D38" w:rsidRPr="00A92233" w:rsidRDefault="00700D38" w:rsidP="00173FEF">
      <w:pPr>
        <w:rPr>
          <w:sz w:val="20"/>
          <w:szCs w:val="20"/>
          <w:lang w:val="en-GB"/>
        </w:rPr>
      </w:pPr>
      <w:r w:rsidRPr="00A92233">
        <w:rPr>
          <w:sz w:val="20"/>
          <w:szCs w:val="20"/>
          <w:lang w:val="en-GB"/>
        </w:rPr>
        <w:t xml:space="preserve">Szitanyi </w:t>
      </w:r>
      <w:r w:rsidR="00287804" w:rsidRPr="00A92233">
        <w:rPr>
          <w:sz w:val="20"/>
          <w:szCs w:val="20"/>
          <w:lang w:val="en-GB"/>
        </w:rPr>
        <w:t>P, Kol</w:t>
      </w:r>
      <w:r w:rsidRPr="00A92233">
        <w:rPr>
          <w:sz w:val="20"/>
          <w:szCs w:val="20"/>
          <w:lang w:val="en-GB"/>
        </w:rPr>
        <w:t>et</w:t>
      </w:r>
      <w:r w:rsidR="00287804" w:rsidRPr="00A92233">
        <w:rPr>
          <w:sz w:val="20"/>
          <w:szCs w:val="20"/>
          <w:lang w:val="en-GB"/>
        </w:rPr>
        <w:t xml:space="preserve">zko B, </w:t>
      </w:r>
      <w:r w:rsidR="00446065" w:rsidRPr="00A92233">
        <w:rPr>
          <w:sz w:val="20"/>
          <w:szCs w:val="20"/>
          <w:lang w:val="en-GB"/>
        </w:rPr>
        <w:t>Mydlilova A, Demmelmair H</w:t>
      </w:r>
      <w:r w:rsidRPr="00A92233">
        <w:rPr>
          <w:sz w:val="20"/>
          <w:szCs w:val="20"/>
          <w:lang w:val="en-GB"/>
        </w:rPr>
        <w:t xml:space="preserve"> </w:t>
      </w:r>
      <w:r w:rsidR="00287804" w:rsidRPr="00A92233">
        <w:rPr>
          <w:sz w:val="20"/>
          <w:szCs w:val="20"/>
          <w:lang w:val="en-GB"/>
        </w:rPr>
        <w:t>(</w:t>
      </w:r>
      <w:r w:rsidRPr="00A92233">
        <w:rPr>
          <w:sz w:val="20"/>
          <w:szCs w:val="20"/>
          <w:lang w:val="en-GB"/>
        </w:rPr>
        <w:t>1999</w:t>
      </w:r>
      <w:r w:rsidR="00446065" w:rsidRPr="00A92233">
        <w:rPr>
          <w:sz w:val="20"/>
          <w:szCs w:val="20"/>
          <w:lang w:val="en-GB"/>
        </w:rPr>
        <w:t>) M</w:t>
      </w:r>
      <w:r w:rsidR="00287804" w:rsidRPr="00A92233">
        <w:rPr>
          <w:sz w:val="20"/>
          <w:szCs w:val="20"/>
          <w:lang w:val="en-GB"/>
        </w:rPr>
        <w:t>etabolism of 13C-lablelled linoleic acid in newborn infants during the first week of life. Pediatr Res 45(5):253</w:t>
      </w:r>
      <w:r w:rsidR="00287804" w:rsidRPr="00A92233">
        <w:rPr>
          <w:rFonts w:cs="Arial"/>
          <w:noProof/>
          <w:sz w:val="20"/>
          <w:szCs w:val="20"/>
          <w:lang w:val="en-GB"/>
        </w:rPr>
        <w:t>–262.</w:t>
      </w:r>
    </w:p>
    <w:p w14:paraId="14C68DC5" w14:textId="77777777" w:rsidR="00700D38" w:rsidRPr="00A92233" w:rsidRDefault="00700D38" w:rsidP="00173FEF">
      <w:pPr>
        <w:rPr>
          <w:sz w:val="20"/>
          <w:szCs w:val="20"/>
          <w:lang w:val="en-GB"/>
        </w:rPr>
      </w:pPr>
    </w:p>
    <w:p w14:paraId="4FDB8A3A" w14:textId="77777777" w:rsidR="00917B43" w:rsidRPr="00A92233" w:rsidRDefault="00917B43" w:rsidP="00917B43">
      <w:pPr>
        <w:widowControl/>
        <w:rPr>
          <w:rFonts w:eastAsia="Calibri"/>
          <w:bCs/>
          <w:sz w:val="20"/>
          <w:szCs w:val="20"/>
          <w:lang w:val="en-GB" w:bidi="ar-SA"/>
        </w:rPr>
      </w:pPr>
      <w:r w:rsidRPr="00A92233">
        <w:rPr>
          <w:rFonts w:eastAsia="Calibri"/>
          <w:bCs/>
          <w:sz w:val="20"/>
          <w:szCs w:val="20"/>
          <w:lang w:val="en-GB" w:bidi="ar-SA"/>
        </w:rPr>
        <w:t xml:space="preserve">Takumi Kobayashi et.al. (2011) </w:t>
      </w:r>
      <w:hyperlink r:id="rId36" w:history="1">
        <w:r w:rsidRPr="00A92233">
          <w:rPr>
            <w:rStyle w:val="Hyperlink"/>
            <w:rFonts w:eastAsia="Calibri"/>
            <w:bCs/>
            <w:sz w:val="20"/>
            <w:szCs w:val="20"/>
            <w:lang w:val="en-GB" w:bidi="ar-SA"/>
          </w:rPr>
          <w:t>Increase of Eicosapentaenoic Acid in Thraustochytrids through Thraustochytrid Ubiquitin Promoter-Driven Expression of a Fatty Acid Δ5 Desaturase Gene</w:t>
        </w:r>
      </w:hyperlink>
      <w:r w:rsidRPr="00A92233">
        <w:rPr>
          <w:rFonts w:eastAsia="Calibri"/>
          <w:bCs/>
          <w:sz w:val="20"/>
          <w:szCs w:val="20"/>
          <w:lang w:val="en-GB" w:bidi="ar-SA"/>
        </w:rPr>
        <w:t>, Appl. Environ. Microbiol., 77(11): 3870-3876. Accessed 28 June 2016.</w:t>
      </w:r>
    </w:p>
    <w:p w14:paraId="1BD06183" w14:textId="1B3CA908" w:rsidR="00086BE1" w:rsidRPr="00A92233" w:rsidRDefault="00086BE1" w:rsidP="00086BE1">
      <w:pPr>
        <w:rPr>
          <w:sz w:val="20"/>
          <w:szCs w:val="20"/>
          <w:lang w:val="en-GB"/>
        </w:rPr>
      </w:pPr>
    </w:p>
    <w:p w14:paraId="24398E52" w14:textId="27B00BCD" w:rsidR="00086BE1" w:rsidRPr="00A92233" w:rsidRDefault="00086BE1" w:rsidP="00086BE1">
      <w:pPr>
        <w:widowControl/>
        <w:autoSpaceDE w:val="0"/>
        <w:autoSpaceDN w:val="0"/>
        <w:adjustRightInd w:val="0"/>
        <w:rPr>
          <w:rFonts w:cs="Arial"/>
          <w:sz w:val="20"/>
          <w:szCs w:val="20"/>
          <w:lang w:val="en-GB"/>
        </w:rPr>
      </w:pPr>
      <w:r w:rsidRPr="00A92233">
        <w:rPr>
          <w:rFonts w:cs="Arial"/>
          <w:sz w:val="20"/>
          <w:szCs w:val="20"/>
          <w:lang w:val="en-GB" w:eastAsia="en-GB" w:bidi="ar-SA"/>
        </w:rPr>
        <w:t>U.S. FDA. (2011) Response Letter to Will Fantle. Docket No. FDA-2008-P-0074. September 23,</w:t>
      </w:r>
      <w:r w:rsidR="00765BB6" w:rsidRPr="00A92233">
        <w:rPr>
          <w:rFonts w:cs="Arial"/>
          <w:sz w:val="20"/>
          <w:szCs w:val="20"/>
          <w:lang w:val="en-GB" w:eastAsia="en-GB" w:bidi="ar-SA"/>
        </w:rPr>
        <w:t xml:space="preserve"> </w:t>
      </w:r>
      <w:r w:rsidRPr="00A92233">
        <w:rPr>
          <w:rFonts w:cs="Arial"/>
          <w:sz w:val="20"/>
          <w:szCs w:val="20"/>
          <w:lang w:val="en-GB" w:eastAsia="en-GB" w:bidi="ar-SA"/>
        </w:rPr>
        <w:t>2011.</w:t>
      </w:r>
    </w:p>
    <w:p w14:paraId="0B80EB12" w14:textId="77777777" w:rsidR="00086BE1" w:rsidRPr="00A92233" w:rsidRDefault="00086BE1" w:rsidP="00173FEF">
      <w:pPr>
        <w:rPr>
          <w:sz w:val="20"/>
          <w:szCs w:val="20"/>
          <w:lang w:val="en-GB"/>
        </w:rPr>
      </w:pPr>
    </w:p>
    <w:p w14:paraId="35FD7CBA" w14:textId="0C9C7884" w:rsidR="00276891" w:rsidRPr="00A92233" w:rsidRDefault="00276891" w:rsidP="002129F9">
      <w:pPr>
        <w:keepNext/>
        <w:keepLines/>
        <w:rPr>
          <w:rFonts w:cs="Arial"/>
          <w:noProof/>
          <w:sz w:val="20"/>
          <w:szCs w:val="20"/>
          <w:lang w:val="en-GB"/>
        </w:rPr>
      </w:pPr>
      <w:r w:rsidRPr="00A92233">
        <w:rPr>
          <w:sz w:val="20"/>
          <w:szCs w:val="20"/>
          <w:lang w:val="en-GB"/>
        </w:rPr>
        <w:t>Vanderhoof J, Gross S, Hegyi T, Clandinin T, Porcelli P, DeCristofaro J, Rhodes T, Tsang R, Shattuck K, Cowett R (1999) Evaluation of a long-chain polyunsaturated fatty acid supplemented formula on growth, tolerance and plasma lipids in preterm infants up to 48 weeks postconceptional age. J Pediatr Gastroenterol Nutr 29(3):318</w:t>
      </w:r>
      <w:r w:rsidRPr="00A92233">
        <w:rPr>
          <w:rFonts w:cs="Arial"/>
          <w:noProof/>
          <w:sz w:val="20"/>
          <w:szCs w:val="20"/>
          <w:lang w:val="en-GB"/>
        </w:rPr>
        <w:t>–326.</w:t>
      </w:r>
    </w:p>
    <w:p w14:paraId="636AA082" w14:textId="77777777" w:rsidR="00276891" w:rsidRPr="00A92233" w:rsidRDefault="00276891" w:rsidP="00276891">
      <w:pPr>
        <w:rPr>
          <w:sz w:val="20"/>
          <w:szCs w:val="20"/>
          <w:lang w:val="en-GB"/>
        </w:rPr>
      </w:pPr>
    </w:p>
    <w:p w14:paraId="7BC8F583" w14:textId="77777777" w:rsidR="0019035D" w:rsidRPr="00A92233" w:rsidRDefault="0019035D" w:rsidP="0019035D">
      <w:pPr>
        <w:tabs>
          <w:tab w:val="left" w:pos="0"/>
        </w:tabs>
        <w:spacing w:after="240"/>
        <w:rPr>
          <w:rFonts w:cs="Arial"/>
          <w:noProof/>
          <w:sz w:val="20"/>
          <w:szCs w:val="20"/>
          <w:lang w:val="en-GB"/>
        </w:rPr>
      </w:pPr>
      <w:r w:rsidRPr="00A92233">
        <w:rPr>
          <w:rFonts w:cs="Arial"/>
          <w:noProof/>
          <w:sz w:val="20"/>
          <w:szCs w:val="20"/>
          <w:lang w:val="en-GB"/>
        </w:rPr>
        <w:t>Wood KE, Mantzioris E, Gibson RA, Ramsden CE, Muhlhausler BS (2015) The effect of modifying dietary LA and ALA intakes on omega-3 long chain polyunsaturated fatty acid (n-3 LCPUFA) status in human adults: a systematic review and commentary. Prostaglandins Leukot Essent Fatty Acids 95:47–55</w:t>
      </w:r>
    </w:p>
    <w:p w14:paraId="00C2F8D5" w14:textId="5AF5B662" w:rsidR="00406CB8" w:rsidRPr="00A92233" w:rsidRDefault="00576093" w:rsidP="00173FEF">
      <w:pPr>
        <w:rPr>
          <w:sz w:val="20"/>
          <w:szCs w:val="20"/>
          <w:lang w:val="en-GB"/>
        </w:rPr>
      </w:pPr>
      <w:r w:rsidRPr="00A92233">
        <w:rPr>
          <w:sz w:val="20"/>
          <w:szCs w:val="20"/>
          <w:lang w:val="en-GB"/>
        </w:rPr>
        <w:t>Yuhas R, Pramuk K, Lien EL (</w:t>
      </w:r>
      <w:r w:rsidR="00406CB8" w:rsidRPr="00A92233">
        <w:rPr>
          <w:sz w:val="20"/>
          <w:szCs w:val="20"/>
          <w:lang w:val="en-GB"/>
        </w:rPr>
        <w:t>2006</w:t>
      </w:r>
      <w:r w:rsidRPr="00A92233">
        <w:rPr>
          <w:sz w:val="20"/>
          <w:szCs w:val="20"/>
          <w:lang w:val="en-GB"/>
        </w:rPr>
        <w:t>) Human milk fatty acid composition from nine countries varies most in DHA. Lipids 41:88</w:t>
      </w:r>
      <w:r w:rsidRPr="00A92233">
        <w:rPr>
          <w:rFonts w:cs="Arial"/>
          <w:noProof/>
          <w:sz w:val="20"/>
          <w:szCs w:val="20"/>
          <w:lang w:val="en-GB"/>
        </w:rPr>
        <w:t>–845.</w:t>
      </w:r>
    </w:p>
    <w:p w14:paraId="0CA167F4" w14:textId="77777777" w:rsidR="00446F2B" w:rsidRPr="00A92233" w:rsidRDefault="00446F2B" w:rsidP="00173FEF">
      <w:pPr>
        <w:rPr>
          <w:sz w:val="20"/>
          <w:szCs w:val="20"/>
          <w:lang w:val="en-GB"/>
        </w:rPr>
      </w:pPr>
    </w:p>
    <w:p w14:paraId="087F3D1D" w14:textId="77777777" w:rsidR="00E614D8" w:rsidRPr="00A92233" w:rsidRDefault="00E614D8" w:rsidP="00E614D8">
      <w:pPr>
        <w:rPr>
          <w:lang w:val="en-GB"/>
        </w:rPr>
      </w:pPr>
    </w:p>
    <w:p w14:paraId="3E1E49E1" w14:textId="2D326A3C" w:rsidR="006F0F36" w:rsidRDefault="006F0F36" w:rsidP="006F0F36">
      <w:pPr>
        <w:pStyle w:val="FSCh2Part"/>
        <w:sectPr w:rsidR="006F0F36" w:rsidSect="00254D00">
          <w:footerReference w:type="default" r:id="rId37"/>
          <w:pgSz w:w="11906" w:h="16838"/>
          <w:pgMar w:top="1418" w:right="1418" w:bottom="1418" w:left="1418" w:header="709" w:footer="709" w:gutter="0"/>
          <w:cols w:space="708"/>
          <w:docGrid w:linePitch="360"/>
        </w:sectPr>
      </w:pPr>
    </w:p>
    <w:p w14:paraId="1D9E1270" w14:textId="1031D2A2" w:rsidR="004D7E82" w:rsidRDefault="006F0F36" w:rsidP="007D4C8D">
      <w:pPr>
        <w:pStyle w:val="FSCh2Part"/>
        <w:ind w:left="0" w:firstLine="0"/>
      </w:pPr>
      <w:bookmarkStart w:id="85" w:name="_Toc464129799"/>
      <w:r>
        <w:lastRenderedPageBreak/>
        <w:t xml:space="preserve">Appendix </w:t>
      </w:r>
      <w:r w:rsidR="007D4C8D">
        <w:t>1</w:t>
      </w:r>
      <w:bookmarkEnd w:id="85"/>
    </w:p>
    <w:p w14:paraId="338406FF" w14:textId="79064502" w:rsidR="007D4C8D" w:rsidRDefault="007D4C8D" w:rsidP="00F77724">
      <w:pPr>
        <w:rPr>
          <w:rFonts w:eastAsia="Trebuchet MS" w:cs="Arial"/>
          <w:b/>
          <w:color w:val="000000"/>
          <w:sz w:val="20"/>
          <w:szCs w:val="20"/>
          <w:lang w:val="en-GB" w:bidi="ar-SA"/>
        </w:rPr>
      </w:pPr>
      <w:r w:rsidRPr="00A92233">
        <w:rPr>
          <w:rFonts w:eastAsia="Trebuchet MS" w:cs="Arial"/>
          <w:b/>
          <w:color w:val="000000"/>
          <w:sz w:val="20"/>
          <w:szCs w:val="20"/>
          <w:lang w:val="en-GB" w:bidi="ar-SA"/>
        </w:rPr>
        <w:t>Table A1</w:t>
      </w:r>
      <w:r w:rsidR="00CE7FB6" w:rsidRPr="00A92233">
        <w:rPr>
          <w:rFonts w:eastAsia="Trebuchet MS" w:cs="Arial"/>
          <w:b/>
          <w:color w:val="000000"/>
          <w:sz w:val="20"/>
          <w:szCs w:val="20"/>
          <w:lang w:val="en-GB" w:bidi="ar-SA"/>
        </w:rPr>
        <w:t>:</w:t>
      </w:r>
      <w:r w:rsidRPr="00A92233">
        <w:rPr>
          <w:rFonts w:eastAsia="Trebuchet MS" w:cs="Arial"/>
          <w:b/>
          <w:color w:val="000000"/>
          <w:sz w:val="20"/>
          <w:szCs w:val="20"/>
          <w:lang w:val="en-GB" w:bidi="ar-SA"/>
        </w:rPr>
        <w:t xml:space="preserve"> Randomised Controlled Trials with DHA from various sources (and ARA) Reporting Growth Outcomes</w:t>
      </w:r>
    </w:p>
    <w:p w14:paraId="03A2F06A" w14:textId="77777777" w:rsidR="00BE3399" w:rsidRPr="00DE5269" w:rsidRDefault="00BE3399" w:rsidP="00F77724">
      <w:pPr>
        <w:rPr>
          <w:lang w:val="en-GB" w:eastAsia="en-AU" w:bidi="ar-SA"/>
        </w:rPr>
      </w:pPr>
    </w:p>
    <w:tbl>
      <w:tblPr>
        <w:tblW w:w="0" w:type="auto"/>
        <w:tblInd w:w="2" w:type="dxa"/>
        <w:tblLayout w:type="fixed"/>
        <w:tblCellMar>
          <w:left w:w="0" w:type="dxa"/>
          <w:right w:w="0" w:type="dxa"/>
        </w:tblCellMar>
        <w:tblLook w:val="0000" w:firstRow="0" w:lastRow="0" w:firstColumn="0" w:lastColumn="0" w:noHBand="0" w:noVBand="0"/>
      </w:tblPr>
      <w:tblGrid>
        <w:gridCol w:w="11"/>
        <w:gridCol w:w="1703"/>
        <w:gridCol w:w="11"/>
        <w:gridCol w:w="857"/>
        <w:gridCol w:w="11"/>
        <w:gridCol w:w="863"/>
        <w:gridCol w:w="11"/>
        <w:gridCol w:w="1875"/>
        <w:gridCol w:w="11"/>
        <w:gridCol w:w="2394"/>
        <w:gridCol w:w="11"/>
        <w:gridCol w:w="2260"/>
        <w:gridCol w:w="11"/>
        <w:gridCol w:w="3325"/>
        <w:gridCol w:w="11"/>
      </w:tblGrid>
      <w:tr w:rsidR="004D7E82" w:rsidRPr="00DE5269" w14:paraId="7942C0E3" w14:textId="24F0F1A3" w:rsidTr="000255E9">
        <w:trPr>
          <w:gridAfter w:val="1"/>
          <w:wAfter w:w="11" w:type="dxa"/>
          <w:cantSplit/>
          <w:trHeight w:hRule="exact" w:val="1023"/>
          <w:tblHeader/>
        </w:trPr>
        <w:tc>
          <w:tcPr>
            <w:tcW w:w="171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8C49DD" w14:textId="3CB932C0" w:rsidR="004D7E82" w:rsidRPr="00A92233" w:rsidRDefault="004D7E82" w:rsidP="004D7E82">
            <w:pPr>
              <w:widowControl/>
              <w:spacing w:before="39" w:after="523" w:line="230" w:lineRule="exact"/>
              <w:ind w:left="108"/>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Study/Study Design</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FA5E55" w14:textId="27DCBB21" w:rsidR="004D7E82" w:rsidRPr="00A92233" w:rsidRDefault="004D7E82" w:rsidP="004D7E82">
            <w:pPr>
              <w:widowControl/>
              <w:spacing w:before="44" w:after="518" w:line="230" w:lineRule="exact"/>
              <w:ind w:left="108"/>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ARA (%FA)</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019B74" w14:textId="5A03B07C" w:rsidR="004D7E82" w:rsidRPr="00A92233" w:rsidRDefault="004D7E82" w:rsidP="004D7E82">
            <w:pPr>
              <w:widowControl/>
              <w:spacing w:before="44" w:after="518" w:line="230" w:lineRule="exact"/>
              <w:ind w:left="108"/>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DHA (%FA)</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0B569F0" w14:textId="73499F05" w:rsidR="004D7E82" w:rsidRPr="00A92233" w:rsidRDefault="004D7E82" w:rsidP="004D7E82">
            <w:pPr>
              <w:widowControl/>
              <w:spacing w:before="50" w:after="52" w:line="230" w:lineRule="exact"/>
              <w:ind w:left="108" w:right="180"/>
              <w:textAlignment w:val="baseline"/>
              <w:rPr>
                <w:rFonts w:eastAsia="Trebuchet MS" w:cs="Arial"/>
                <w:b/>
                <w:color w:val="000000"/>
                <w:spacing w:val="-1"/>
                <w:sz w:val="20"/>
                <w:szCs w:val="20"/>
                <w:lang w:val="en-GB" w:bidi="ar-SA"/>
              </w:rPr>
            </w:pPr>
            <w:r w:rsidRPr="00A92233">
              <w:rPr>
                <w:rFonts w:eastAsia="Trebuchet MS" w:cs="Arial"/>
                <w:b/>
                <w:color w:val="000000"/>
                <w:spacing w:val="-1"/>
                <w:sz w:val="20"/>
                <w:szCs w:val="20"/>
                <w:lang w:val="en-GB" w:bidi="ar-SA"/>
              </w:rPr>
              <w:t>Number of Subj</w:t>
            </w:r>
            <w:r w:rsidR="001D6400" w:rsidRPr="00A92233">
              <w:rPr>
                <w:rFonts w:eastAsia="Trebuchet MS" w:cs="Arial"/>
                <w:b/>
                <w:color w:val="000000"/>
                <w:spacing w:val="-1"/>
                <w:sz w:val="20"/>
                <w:szCs w:val="20"/>
                <w:lang w:val="en-GB" w:bidi="ar-SA"/>
              </w:rPr>
              <w:t xml:space="preserve">ects at longest duration (BF/C/DHA) </w:t>
            </w:r>
            <w:r w:rsidRPr="00A92233">
              <w:rPr>
                <w:rFonts w:eastAsia="Trebuchet MS" w:cs="Arial"/>
                <w:b/>
                <w:color w:val="000000"/>
                <w:spacing w:val="-1"/>
                <w:sz w:val="20"/>
                <w:szCs w:val="20"/>
                <w:lang w:val="en-GB" w:bidi="ar-SA"/>
              </w:rPr>
              <w:t>DHA+ARA)</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AADE9E4" w14:textId="27CE45C3" w:rsidR="004D7E82" w:rsidRPr="00A92233" w:rsidRDefault="004D7E82" w:rsidP="004D7E82">
            <w:pPr>
              <w:widowControl/>
              <w:spacing w:before="39" w:after="523" w:line="230" w:lineRule="exact"/>
              <w:ind w:left="108" w:right="324"/>
              <w:textAlignment w:val="baseline"/>
              <w:rPr>
                <w:rFonts w:eastAsia="Trebuchet MS" w:cs="Arial"/>
                <w:b/>
                <w:color w:val="000000"/>
                <w:spacing w:val="-2"/>
                <w:sz w:val="20"/>
                <w:szCs w:val="20"/>
                <w:lang w:val="en-GB" w:bidi="ar-SA"/>
              </w:rPr>
            </w:pPr>
            <w:r w:rsidRPr="00A92233">
              <w:rPr>
                <w:rFonts w:eastAsia="Trebuchet MS" w:cs="Arial"/>
                <w:b/>
                <w:color w:val="000000"/>
                <w:spacing w:val="-2"/>
                <w:sz w:val="20"/>
                <w:szCs w:val="20"/>
                <w:lang w:val="en-GB" w:bidi="ar-SA"/>
              </w:rPr>
              <w:t>Age at Start/Duration of Supplementation</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CF2912A" w14:textId="2F5708DB" w:rsidR="004D7E82" w:rsidRPr="00A92233" w:rsidRDefault="004D7E82" w:rsidP="004D7E82">
            <w:pPr>
              <w:widowControl/>
              <w:spacing w:before="39" w:after="753" w:line="230" w:lineRule="exact"/>
              <w:ind w:left="120"/>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Outcome Summary</w:t>
            </w:r>
          </w:p>
        </w:tc>
        <w:tc>
          <w:tcPr>
            <w:tcW w:w="333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B7E116" w14:textId="38FB8A2F" w:rsidR="004D7E82" w:rsidRPr="00A92233" w:rsidRDefault="004D7E82" w:rsidP="004D7E82">
            <w:pPr>
              <w:widowControl/>
              <w:spacing w:before="39" w:after="753" w:line="230" w:lineRule="exact"/>
              <w:ind w:left="110"/>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Study Quality and Limitations</w:t>
            </w:r>
          </w:p>
        </w:tc>
      </w:tr>
      <w:tr w:rsidR="004D7E82" w:rsidRPr="00DE5269" w14:paraId="535F3045" w14:textId="162EAB05" w:rsidTr="005F018D">
        <w:trPr>
          <w:gridAfter w:val="1"/>
          <w:wAfter w:w="11" w:type="dxa"/>
          <w:cantSplit/>
        </w:trPr>
        <w:tc>
          <w:tcPr>
            <w:tcW w:w="1714" w:type="dxa"/>
            <w:gridSpan w:val="2"/>
            <w:tcBorders>
              <w:top w:val="single" w:sz="4" w:space="0" w:color="000000"/>
              <w:left w:val="single" w:sz="4" w:space="0" w:color="000000"/>
              <w:bottom w:val="single" w:sz="4" w:space="0" w:color="000000"/>
              <w:right w:val="single" w:sz="4" w:space="0" w:color="000000"/>
            </w:tcBorders>
          </w:tcPr>
          <w:p w14:paraId="10EEB1A3" w14:textId="5E7E3495" w:rsidR="004D7E82" w:rsidRPr="00A92233" w:rsidRDefault="004D7E82" w:rsidP="005F018D">
            <w:pPr>
              <w:widowControl/>
              <w:ind w:left="72" w:right="151"/>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 xml:space="preserve">Auestad </w:t>
            </w:r>
            <w:r w:rsidRPr="00A92233">
              <w:rPr>
                <w:rFonts w:eastAsia="Trebuchet MS" w:cs="Arial"/>
                <w:i/>
                <w:color w:val="000000"/>
                <w:spacing w:val="-1"/>
                <w:sz w:val="20"/>
                <w:szCs w:val="20"/>
                <w:lang w:val="en-GB" w:bidi="ar-SA"/>
              </w:rPr>
              <w:t>et al.</w:t>
            </w:r>
          </w:p>
          <w:p w14:paraId="302186B8" w14:textId="2AB42CF2" w:rsidR="004D7E82" w:rsidRPr="00A92233" w:rsidRDefault="004D7E82" w:rsidP="005F018D">
            <w:pPr>
              <w:widowControl/>
              <w:ind w:left="72" w:right="151"/>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(1997) (2003)</w:t>
            </w:r>
          </w:p>
          <w:p w14:paraId="2C2281D6" w14:textId="77777777" w:rsidR="005F018D" w:rsidRPr="00A92233" w:rsidRDefault="005F018D" w:rsidP="005F018D">
            <w:pPr>
              <w:widowControl/>
              <w:ind w:left="72" w:right="151"/>
              <w:textAlignment w:val="baseline"/>
              <w:rPr>
                <w:rFonts w:eastAsia="Trebuchet MS" w:cs="Arial"/>
                <w:color w:val="000000"/>
                <w:spacing w:val="-2"/>
                <w:sz w:val="20"/>
                <w:szCs w:val="20"/>
                <w:lang w:val="en-GB" w:bidi="ar-SA"/>
              </w:rPr>
            </w:pPr>
          </w:p>
          <w:p w14:paraId="113A05C8" w14:textId="7C055C47" w:rsidR="004D7E82" w:rsidRPr="00A92233" w:rsidRDefault="005F018D" w:rsidP="005F018D">
            <w:pPr>
              <w:widowControl/>
              <w:ind w:left="72" w:right="151"/>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DB</w:t>
            </w:r>
            <w:r w:rsidR="004D7E82" w:rsidRPr="00A92233">
              <w:rPr>
                <w:rFonts w:eastAsia="Trebuchet MS" w:cs="Arial"/>
                <w:color w:val="000000"/>
                <w:spacing w:val="-2"/>
                <w:sz w:val="20"/>
                <w:szCs w:val="20"/>
                <w:lang w:val="en-GB" w:bidi="ar-SA"/>
              </w:rPr>
              <w:t xml:space="preserve"> </w:t>
            </w:r>
            <w:r w:rsidR="004D7E82" w:rsidRPr="00A92233">
              <w:rPr>
                <w:rFonts w:eastAsia="Trebuchet MS"/>
                <w:sz w:val="20"/>
                <w:szCs w:val="20"/>
                <w:lang w:val="en-GB"/>
              </w:rPr>
              <w:t>RCT</w:t>
            </w:r>
          </w:p>
        </w:tc>
        <w:tc>
          <w:tcPr>
            <w:tcW w:w="868" w:type="dxa"/>
            <w:gridSpan w:val="2"/>
            <w:tcBorders>
              <w:top w:val="single" w:sz="4" w:space="0" w:color="000000"/>
              <w:left w:val="single" w:sz="4" w:space="0" w:color="000000"/>
              <w:bottom w:val="single" w:sz="4" w:space="0" w:color="000000"/>
              <w:right w:val="single" w:sz="4" w:space="0" w:color="000000"/>
            </w:tcBorders>
          </w:tcPr>
          <w:p w14:paraId="79FC8153" w14:textId="2187A93C" w:rsidR="004D7E82" w:rsidRPr="00A92233" w:rsidRDefault="004D7E82" w:rsidP="005F018D">
            <w:pPr>
              <w:widowControl/>
              <w:ind w:left="120"/>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0.43</w:t>
            </w:r>
          </w:p>
        </w:tc>
        <w:tc>
          <w:tcPr>
            <w:tcW w:w="874" w:type="dxa"/>
            <w:gridSpan w:val="2"/>
            <w:tcBorders>
              <w:top w:val="single" w:sz="4" w:space="0" w:color="000000"/>
              <w:left w:val="single" w:sz="4" w:space="0" w:color="000000"/>
              <w:bottom w:val="single" w:sz="4" w:space="0" w:color="000000"/>
              <w:right w:val="single" w:sz="4" w:space="0" w:color="000000"/>
            </w:tcBorders>
          </w:tcPr>
          <w:p w14:paraId="66FA4BC7" w14:textId="6C741E70" w:rsidR="004D7E82" w:rsidRPr="00A92233" w:rsidRDefault="004D7E82" w:rsidP="005F018D">
            <w:pPr>
              <w:widowControl/>
              <w:ind w:left="120"/>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0.12</w:t>
            </w:r>
          </w:p>
        </w:tc>
        <w:tc>
          <w:tcPr>
            <w:tcW w:w="1886" w:type="dxa"/>
            <w:gridSpan w:val="2"/>
            <w:tcBorders>
              <w:top w:val="single" w:sz="4" w:space="0" w:color="000000"/>
              <w:left w:val="single" w:sz="4" w:space="0" w:color="000000"/>
              <w:bottom w:val="single" w:sz="4" w:space="0" w:color="000000"/>
              <w:right w:val="single" w:sz="4" w:space="0" w:color="000000"/>
            </w:tcBorders>
          </w:tcPr>
          <w:p w14:paraId="2B3A1073" w14:textId="3DC09F01"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63/45/46</w:t>
            </w:r>
          </w:p>
        </w:tc>
        <w:tc>
          <w:tcPr>
            <w:tcW w:w="2405" w:type="dxa"/>
            <w:gridSpan w:val="2"/>
            <w:tcBorders>
              <w:top w:val="single" w:sz="4" w:space="0" w:color="000000"/>
              <w:left w:val="single" w:sz="4" w:space="0" w:color="000000"/>
              <w:bottom w:val="single" w:sz="4" w:space="0" w:color="000000"/>
              <w:right w:val="single" w:sz="4" w:space="0" w:color="000000"/>
            </w:tcBorders>
          </w:tcPr>
          <w:p w14:paraId="6D95C89E" w14:textId="21A0CDFF" w:rsidR="004D7E82" w:rsidRPr="00A92233" w:rsidRDefault="004D7E82" w:rsidP="005F018D">
            <w:pPr>
              <w:widowControl/>
              <w:ind w:left="1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7 days/12 mo</w:t>
            </w:r>
          </w:p>
        </w:tc>
        <w:tc>
          <w:tcPr>
            <w:tcW w:w="2271" w:type="dxa"/>
            <w:gridSpan w:val="2"/>
            <w:tcBorders>
              <w:top w:val="single" w:sz="4" w:space="0" w:color="000000"/>
              <w:left w:val="single" w:sz="4" w:space="0" w:color="000000"/>
              <w:bottom w:val="single" w:sz="4" w:space="0" w:color="000000"/>
              <w:right w:val="single" w:sz="4" w:space="0" w:color="000000"/>
            </w:tcBorders>
          </w:tcPr>
          <w:p w14:paraId="263E421F" w14:textId="1C92C4F6" w:rsidR="004D7E82" w:rsidRPr="00A92233" w:rsidRDefault="004D7E82" w:rsidP="005F018D">
            <w:pPr>
              <w:widowControl/>
              <w:ind w:left="72"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No difference in growth outcomes (weight, length, head circumference) between groups</w:t>
            </w:r>
          </w:p>
          <w:p w14:paraId="3D7B6851" w14:textId="459AC8D0" w:rsidR="004D7E82" w:rsidRPr="00A92233" w:rsidRDefault="004D7E82" w:rsidP="005F018D">
            <w:pPr>
              <w:widowControl/>
              <w:ind w:left="72" w:right="468"/>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No difference in growth between groups 27 mo post- supplementation</w:t>
            </w:r>
          </w:p>
        </w:tc>
        <w:tc>
          <w:tcPr>
            <w:tcW w:w="3336" w:type="dxa"/>
            <w:gridSpan w:val="2"/>
            <w:tcBorders>
              <w:top w:val="single" w:sz="4" w:space="0" w:color="000000"/>
              <w:left w:val="single" w:sz="4" w:space="0" w:color="000000"/>
              <w:bottom w:val="single" w:sz="4" w:space="0" w:color="000000"/>
              <w:right w:val="single" w:sz="4" w:space="0" w:color="000000"/>
            </w:tcBorders>
          </w:tcPr>
          <w:p w14:paraId="425DC916" w14:textId="5E16BD49" w:rsidR="004D7E82" w:rsidRPr="00A92233" w:rsidRDefault="004D7E82" w:rsidP="005F018D">
            <w:pPr>
              <w:widowControl/>
              <w:ind w:left="72"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 baseline; selection and allocation procedures described; disposition of subjects provided; appropriate outcomes, outcomes reliably measured.</w:t>
            </w:r>
          </w:p>
          <w:p w14:paraId="22F82CC8" w14:textId="28D06E91" w:rsidR="004D7E82" w:rsidRPr="00A92233" w:rsidRDefault="004D7E82" w:rsidP="005F018D">
            <w:pPr>
              <w:widowControl/>
              <w:ind w:left="72" w:right="14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high drop-out rate (23%); limited follow-up (80%) at 27 mo post supplementation; sufficient statistical power not verified (i.e. no power calculation provided)</w:t>
            </w:r>
          </w:p>
          <w:p w14:paraId="66D7BD36" w14:textId="77777777"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moderate quality</w:t>
            </w:r>
          </w:p>
          <w:p w14:paraId="25DABBB1" w14:textId="5F2E8199" w:rsidR="005F018D" w:rsidRPr="00A92233" w:rsidRDefault="005F018D" w:rsidP="005F018D">
            <w:pPr>
              <w:widowControl/>
              <w:ind w:left="72"/>
              <w:textAlignment w:val="baseline"/>
              <w:rPr>
                <w:rFonts w:eastAsia="Trebuchet MS" w:cs="Arial"/>
                <w:color w:val="000000"/>
                <w:sz w:val="20"/>
                <w:szCs w:val="20"/>
                <w:lang w:val="en-GB" w:bidi="ar-SA"/>
              </w:rPr>
            </w:pPr>
          </w:p>
        </w:tc>
      </w:tr>
      <w:tr w:rsidR="004D7E82" w:rsidRPr="00DE5269" w14:paraId="1E8DF87D" w14:textId="3E25B5CF" w:rsidTr="005F018D">
        <w:trPr>
          <w:gridAfter w:val="1"/>
          <w:wAfter w:w="11" w:type="dxa"/>
          <w:cantSplit/>
        </w:trPr>
        <w:tc>
          <w:tcPr>
            <w:tcW w:w="1714" w:type="dxa"/>
            <w:gridSpan w:val="2"/>
            <w:tcBorders>
              <w:top w:val="single" w:sz="4" w:space="0" w:color="000000"/>
              <w:left w:val="single" w:sz="4" w:space="0" w:color="000000"/>
              <w:bottom w:val="single" w:sz="4" w:space="0" w:color="000000"/>
              <w:right w:val="single" w:sz="4" w:space="0" w:color="000000"/>
            </w:tcBorders>
          </w:tcPr>
          <w:p w14:paraId="05CB9F09" w14:textId="6CCA638D"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Auestad </w:t>
            </w:r>
            <w:r w:rsidRPr="00A92233">
              <w:rPr>
                <w:rFonts w:eastAsia="Trebuchet MS" w:cs="Arial"/>
                <w:i/>
                <w:color w:val="000000"/>
                <w:sz w:val="20"/>
                <w:szCs w:val="20"/>
                <w:lang w:val="en-GB" w:bidi="ar-SA"/>
              </w:rPr>
              <w:t xml:space="preserve">et al. </w:t>
            </w:r>
            <w:r w:rsidRPr="00A92233">
              <w:rPr>
                <w:rFonts w:eastAsia="Trebuchet MS" w:cs="Arial"/>
                <w:color w:val="000000"/>
                <w:sz w:val="20"/>
                <w:szCs w:val="20"/>
                <w:lang w:val="en-GB" w:bidi="ar-SA"/>
              </w:rPr>
              <w:t>(2001)</w:t>
            </w:r>
          </w:p>
          <w:p w14:paraId="6EE9B196" w14:textId="77777777" w:rsidR="005F018D" w:rsidRPr="00A92233" w:rsidRDefault="005F018D" w:rsidP="005F018D">
            <w:pPr>
              <w:widowControl/>
              <w:ind w:left="72"/>
              <w:textAlignment w:val="baseline"/>
              <w:rPr>
                <w:rFonts w:eastAsia="Trebuchet MS" w:cs="Arial"/>
                <w:color w:val="000000"/>
                <w:sz w:val="20"/>
                <w:szCs w:val="20"/>
                <w:lang w:val="en-GB" w:bidi="ar-SA"/>
              </w:rPr>
            </w:pPr>
          </w:p>
          <w:p w14:paraId="6FA0D92F" w14:textId="310F930C" w:rsidR="004D7E82" w:rsidRPr="00A92233" w:rsidRDefault="005F018D" w:rsidP="005F018D">
            <w:pPr>
              <w:widowControl/>
              <w:ind w:left="72" w:right="151"/>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 xml:space="preserve">DB </w:t>
            </w:r>
            <w:r w:rsidRPr="00A92233">
              <w:rPr>
                <w:rFonts w:eastAsia="Trebuchet MS"/>
                <w:sz w:val="20"/>
                <w:szCs w:val="20"/>
                <w:lang w:val="en-GB"/>
              </w:rPr>
              <w:t>RCT</w:t>
            </w:r>
          </w:p>
        </w:tc>
        <w:tc>
          <w:tcPr>
            <w:tcW w:w="868" w:type="dxa"/>
            <w:gridSpan w:val="2"/>
            <w:tcBorders>
              <w:top w:val="single" w:sz="4" w:space="0" w:color="000000"/>
              <w:left w:val="single" w:sz="4" w:space="0" w:color="000000"/>
              <w:bottom w:val="single" w:sz="4" w:space="0" w:color="000000"/>
              <w:right w:val="single" w:sz="4" w:space="0" w:color="000000"/>
            </w:tcBorders>
          </w:tcPr>
          <w:p w14:paraId="08B8D3C4" w14:textId="37D87CD5" w:rsidR="004D7E82" w:rsidRPr="00A92233" w:rsidRDefault="004D7E82" w:rsidP="005F018D">
            <w:pPr>
              <w:widowControl/>
              <w:ind w:left="120"/>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0.45</w:t>
            </w:r>
          </w:p>
        </w:tc>
        <w:tc>
          <w:tcPr>
            <w:tcW w:w="874" w:type="dxa"/>
            <w:gridSpan w:val="2"/>
            <w:tcBorders>
              <w:top w:val="single" w:sz="4" w:space="0" w:color="000000"/>
              <w:left w:val="single" w:sz="4" w:space="0" w:color="000000"/>
              <w:bottom w:val="single" w:sz="4" w:space="0" w:color="000000"/>
              <w:right w:val="single" w:sz="4" w:space="0" w:color="000000"/>
            </w:tcBorders>
          </w:tcPr>
          <w:p w14:paraId="35A0CB10" w14:textId="0739C442"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0.14</w:t>
            </w:r>
          </w:p>
        </w:tc>
        <w:tc>
          <w:tcPr>
            <w:tcW w:w="1886" w:type="dxa"/>
            <w:gridSpan w:val="2"/>
            <w:tcBorders>
              <w:top w:val="single" w:sz="4" w:space="0" w:color="000000"/>
              <w:left w:val="single" w:sz="4" w:space="0" w:color="000000"/>
              <w:bottom w:val="single" w:sz="4" w:space="0" w:color="000000"/>
              <w:right w:val="single" w:sz="4" w:space="0" w:color="000000"/>
            </w:tcBorders>
          </w:tcPr>
          <w:p w14:paraId="749AFBE0" w14:textId="4E2AD963"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82/77/162</w:t>
            </w:r>
          </w:p>
        </w:tc>
        <w:tc>
          <w:tcPr>
            <w:tcW w:w="2405" w:type="dxa"/>
            <w:gridSpan w:val="2"/>
            <w:tcBorders>
              <w:top w:val="single" w:sz="4" w:space="0" w:color="000000"/>
              <w:left w:val="single" w:sz="4" w:space="0" w:color="000000"/>
              <w:bottom w:val="single" w:sz="4" w:space="0" w:color="000000"/>
              <w:right w:val="single" w:sz="4" w:space="0" w:color="000000"/>
            </w:tcBorders>
          </w:tcPr>
          <w:p w14:paraId="78BDC31F" w14:textId="7C57DE9D" w:rsidR="004D7E82" w:rsidRPr="00A92233" w:rsidRDefault="004D7E82" w:rsidP="005F018D">
            <w:pPr>
              <w:widowControl/>
              <w:ind w:left="1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~9 days/12 mo</w:t>
            </w:r>
          </w:p>
        </w:tc>
        <w:tc>
          <w:tcPr>
            <w:tcW w:w="2271" w:type="dxa"/>
            <w:gridSpan w:val="2"/>
            <w:tcBorders>
              <w:top w:val="single" w:sz="4" w:space="0" w:color="000000"/>
              <w:left w:val="single" w:sz="4" w:space="0" w:color="000000"/>
              <w:bottom w:val="single" w:sz="4" w:space="0" w:color="000000"/>
              <w:right w:val="single" w:sz="4" w:space="0" w:color="000000"/>
            </w:tcBorders>
          </w:tcPr>
          <w:p w14:paraId="22F37B1E" w14:textId="52041A94" w:rsidR="004D7E82" w:rsidRPr="00A92233" w:rsidRDefault="004D7E82" w:rsidP="005F018D">
            <w:pPr>
              <w:widowControl/>
              <w:ind w:left="108" w:right="720"/>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No difference in growth (weight, length, head circumference) between groups</w:t>
            </w:r>
          </w:p>
        </w:tc>
        <w:tc>
          <w:tcPr>
            <w:tcW w:w="3336" w:type="dxa"/>
            <w:gridSpan w:val="2"/>
            <w:tcBorders>
              <w:top w:val="single" w:sz="4" w:space="0" w:color="000000"/>
              <w:left w:val="single" w:sz="4" w:space="0" w:color="000000"/>
              <w:bottom w:val="single" w:sz="4" w:space="0" w:color="000000"/>
              <w:right w:val="single" w:sz="4" w:space="0" w:color="000000"/>
            </w:tcBorders>
          </w:tcPr>
          <w:p w14:paraId="71C6F54D" w14:textId="7F8DDBBB" w:rsidR="004D7E82" w:rsidRPr="00A92233" w:rsidRDefault="004D7E82" w:rsidP="005F018D">
            <w:pPr>
              <w:widowControl/>
              <w:ind w:left="72"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 baseline; selection and allocation procedures described; disposition of subjects provided; appropriate outcomes, outcomes reliably measured; adequate statistical power, large study population.</w:t>
            </w:r>
          </w:p>
          <w:p w14:paraId="78BD8F25" w14:textId="00339717"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high drop-out rate (27%)</w:t>
            </w:r>
          </w:p>
          <w:p w14:paraId="1B29682B" w14:textId="56380507"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moderate-high quality</w:t>
            </w:r>
          </w:p>
        </w:tc>
      </w:tr>
      <w:tr w:rsidR="004D7E82" w:rsidRPr="00DE5269" w14:paraId="08B5AB31" w14:textId="4DFE98EA" w:rsidTr="005F018D">
        <w:trPr>
          <w:gridBefore w:val="1"/>
          <w:wBefore w:w="11" w:type="dxa"/>
          <w:cantSplit/>
        </w:trPr>
        <w:tc>
          <w:tcPr>
            <w:tcW w:w="1714" w:type="dxa"/>
            <w:gridSpan w:val="2"/>
            <w:tcBorders>
              <w:top w:val="single" w:sz="4" w:space="0" w:color="000000"/>
              <w:left w:val="single" w:sz="4" w:space="0" w:color="000000"/>
              <w:bottom w:val="single" w:sz="4" w:space="0" w:color="000000"/>
              <w:right w:val="single" w:sz="4" w:space="0" w:color="000000"/>
            </w:tcBorders>
          </w:tcPr>
          <w:p w14:paraId="47829619" w14:textId="31813744"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lastRenderedPageBreak/>
              <w:t xml:space="preserve">Clandinin </w:t>
            </w:r>
            <w:r w:rsidRPr="00A92233">
              <w:rPr>
                <w:rFonts w:eastAsia="Trebuchet MS" w:cs="Arial"/>
                <w:i/>
                <w:color w:val="000000"/>
                <w:sz w:val="20"/>
                <w:szCs w:val="20"/>
                <w:lang w:val="en-GB" w:bidi="ar-SA"/>
              </w:rPr>
              <w:t xml:space="preserve">et al. </w:t>
            </w:r>
            <w:r w:rsidRPr="00A92233">
              <w:rPr>
                <w:rFonts w:eastAsia="Trebuchet MS" w:cs="Arial"/>
                <w:color w:val="000000"/>
                <w:sz w:val="20"/>
                <w:szCs w:val="20"/>
                <w:lang w:val="en-GB" w:bidi="ar-SA"/>
              </w:rPr>
              <w:t>(2005)*</w:t>
            </w:r>
          </w:p>
          <w:p w14:paraId="5E8E7FC5" w14:textId="77777777" w:rsidR="005F018D" w:rsidRPr="00A92233" w:rsidRDefault="005F018D" w:rsidP="005F018D">
            <w:pPr>
              <w:widowControl/>
              <w:ind w:left="72"/>
              <w:textAlignment w:val="baseline"/>
              <w:rPr>
                <w:rFonts w:eastAsia="Trebuchet MS" w:cs="Arial"/>
                <w:color w:val="000000"/>
                <w:sz w:val="20"/>
                <w:szCs w:val="20"/>
                <w:lang w:val="en-GB" w:bidi="ar-SA"/>
              </w:rPr>
            </w:pPr>
          </w:p>
          <w:p w14:paraId="77C509E1" w14:textId="053421BC" w:rsidR="004D7E82" w:rsidRPr="00A92233" w:rsidRDefault="005F018D"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 xml:space="preserve">DB </w:t>
            </w:r>
            <w:r w:rsidRPr="00A92233">
              <w:rPr>
                <w:rFonts w:eastAsia="Trebuchet MS"/>
                <w:sz w:val="20"/>
                <w:szCs w:val="20"/>
                <w:lang w:val="en-GB"/>
              </w:rPr>
              <w:t>RCT</w:t>
            </w:r>
          </w:p>
        </w:tc>
        <w:tc>
          <w:tcPr>
            <w:tcW w:w="868" w:type="dxa"/>
            <w:gridSpan w:val="2"/>
            <w:tcBorders>
              <w:top w:val="single" w:sz="4" w:space="0" w:color="000000"/>
              <w:left w:val="single" w:sz="4" w:space="0" w:color="000000"/>
              <w:bottom w:val="single" w:sz="4" w:space="0" w:color="000000"/>
              <w:right w:val="single" w:sz="4" w:space="0" w:color="000000"/>
            </w:tcBorders>
          </w:tcPr>
          <w:p w14:paraId="5D1903E8" w14:textId="27CCBC8B" w:rsidR="004D7E82" w:rsidRPr="00A92233" w:rsidRDefault="004D7E82" w:rsidP="005F018D">
            <w:pPr>
              <w:widowControl/>
              <w:ind w:left="120"/>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0.64</w:t>
            </w:r>
          </w:p>
        </w:tc>
        <w:tc>
          <w:tcPr>
            <w:tcW w:w="874" w:type="dxa"/>
            <w:gridSpan w:val="2"/>
            <w:tcBorders>
              <w:top w:val="single" w:sz="4" w:space="0" w:color="000000"/>
              <w:left w:val="single" w:sz="4" w:space="0" w:color="000000"/>
              <w:bottom w:val="single" w:sz="4" w:space="0" w:color="000000"/>
              <w:right w:val="single" w:sz="4" w:space="0" w:color="000000"/>
            </w:tcBorders>
          </w:tcPr>
          <w:p w14:paraId="23B7CF33" w14:textId="7469FB9B" w:rsidR="004D7E82" w:rsidRPr="00A92233" w:rsidRDefault="004D7E82" w:rsidP="005F018D">
            <w:pPr>
              <w:widowControl/>
              <w:ind w:left="120"/>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0.32</w:t>
            </w:r>
          </w:p>
        </w:tc>
        <w:tc>
          <w:tcPr>
            <w:tcW w:w="1886" w:type="dxa"/>
            <w:gridSpan w:val="2"/>
            <w:tcBorders>
              <w:top w:val="single" w:sz="4" w:space="0" w:color="000000"/>
              <w:left w:val="single" w:sz="4" w:space="0" w:color="000000"/>
              <w:bottom w:val="single" w:sz="4" w:space="0" w:color="000000"/>
              <w:right w:val="single" w:sz="4" w:space="0" w:color="000000"/>
            </w:tcBorders>
          </w:tcPr>
          <w:p w14:paraId="5D948AED" w14:textId="20E664B8"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76/62/117</w:t>
            </w:r>
          </w:p>
        </w:tc>
        <w:tc>
          <w:tcPr>
            <w:tcW w:w="2405" w:type="dxa"/>
            <w:gridSpan w:val="2"/>
            <w:tcBorders>
              <w:top w:val="single" w:sz="4" w:space="0" w:color="000000"/>
              <w:left w:val="single" w:sz="4" w:space="0" w:color="000000"/>
              <w:bottom w:val="single" w:sz="4" w:space="0" w:color="000000"/>
              <w:right w:val="single" w:sz="4" w:space="0" w:color="000000"/>
            </w:tcBorders>
          </w:tcPr>
          <w:p w14:paraId="26A2972B" w14:textId="41B2A09D" w:rsidR="004D7E82" w:rsidRPr="00A92233" w:rsidRDefault="004D7E82" w:rsidP="005F018D">
            <w:pPr>
              <w:widowControl/>
              <w:ind w:left="116"/>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14 days/~12 mo</w:t>
            </w:r>
          </w:p>
        </w:tc>
        <w:tc>
          <w:tcPr>
            <w:tcW w:w="2271" w:type="dxa"/>
            <w:gridSpan w:val="2"/>
            <w:tcBorders>
              <w:top w:val="single" w:sz="4" w:space="0" w:color="000000"/>
              <w:left w:val="single" w:sz="4" w:space="0" w:color="000000"/>
              <w:bottom w:val="single" w:sz="4" w:space="0" w:color="000000"/>
              <w:right w:val="single" w:sz="4" w:space="0" w:color="000000"/>
            </w:tcBorders>
          </w:tcPr>
          <w:p w14:paraId="468E03C5" w14:textId="33470013" w:rsidR="004D7E82" w:rsidRPr="00A92233" w:rsidRDefault="004D7E82" w:rsidP="005F018D">
            <w:pPr>
              <w:widowControl/>
              <w:ind w:left="108" w:right="180"/>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Feeding formulas with DHA and ARA from algal and fungal oils resulted in enhanced growth, i.e. weight and length significantly (P&lt;.05) greater in response to DHA+ARA formula.</w:t>
            </w:r>
          </w:p>
        </w:tc>
        <w:tc>
          <w:tcPr>
            <w:tcW w:w="3336" w:type="dxa"/>
            <w:gridSpan w:val="2"/>
            <w:tcBorders>
              <w:top w:val="single" w:sz="4" w:space="0" w:color="000000"/>
              <w:left w:val="single" w:sz="4" w:space="0" w:color="000000"/>
              <w:bottom w:val="single" w:sz="4" w:space="0" w:color="000000"/>
              <w:right w:val="single" w:sz="4" w:space="0" w:color="000000"/>
            </w:tcBorders>
          </w:tcPr>
          <w:p w14:paraId="51336A6B" w14:textId="6F44D482" w:rsidR="004D7E82" w:rsidRPr="00A92233" w:rsidRDefault="004D7E82" w:rsidP="005F018D">
            <w:pPr>
              <w:widowControl/>
              <w:ind w:left="72" w:right="252"/>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Quality - selection and allocation procedures described; disposition of subjects provided; appropriate outcomes, outcomes reliably measured; adequate statistical power, large study population.</w:t>
            </w:r>
          </w:p>
          <w:p w14:paraId="3C865A25" w14:textId="3E9968F3" w:rsidR="004D7E82" w:rsidRPr="00A92233" w:rsidRDefault="004D7E82" w:rsidP="005F018D">
            <w:pPr>
              <w:widowControl/>
              <w:ind w:left="72" w:right="36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Groups differed somewhat at baseline; Drop-out rate 14%</w:t>
            </w:r>
          </w:p>
          <w:p w14:paraId="3F232BEE" w14:textId="77777777" w:rsidR="005F018D" w:rsidRPr="00A92233" w:rsidRDefault="005F018D" w:rsidP="005F018D">
            <w:pPr>
              <w:widowControl/>
              <w:ind w:left="72" w:right="360"/>
              <w:textAlignment w:val="baseline"/>
              <w:rPr>
                <w:rFonts w:eastAsia="Trebuchet MS" w:cs="Arial"/>
                <w:color w:val="000000"/>
                <w:sz w:val="20"/>
                <w:szCs w:val="20"/>
                <w:lang w:val="en-GB" w:bidi="ar-SA"/>
              </w:rPr>
            </w:pPr>
          </w:p>
          <w:p w14:paraId="093D1E07" w14:textId="1E5C1782"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moderate quality</w:t>
            </w:r>
          </w:p>
        </w:tc>
      </w:tr>
      <w:tr w:rsidR="004D7E82" w:rsidRPr="00DE5269" w14:paraId="2CDCE089" w14:textId="710975F5" w:rsidTr="005F018D">
        <w:trPr>
          <w:gridBefore w:val="1"/>
          <w:wBefore w:w="11" w:type="dxa"/>
          <w:cantSplit/>
        </w:trPr>
        <w:tc>
          <w:tcPr>
            <w:tcW w:w="1714" w:type="dxa"/>
            <w:gridSpan w:val="2"/>
            <w:tcBorders>
              <w:top w:val="single" w:sz="4" w:space="0" w:color="000000"/>
              <w:left w:val="single" w:sz="4" w:space="0" w:color="000000"/>
              <w:bottom w:val="single" w:sz="4" w:space="0" w:color="000000"/>
              <w:right w:val="single" w:sz="4" w:space="0" w:color="000000"/>
            </w:tcBorders>
          </w:tcPr>
          <w:p w14:paraId="3C753691" w14:textId="449A2547"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Makrides </w:t>
            </w:r>
            <w:r w:rsidRPr="00A92233">
              <w:rPr>
                <w:rFonts w:eastAsia="Trebuchet MS" w:cs="Arial"/>
                <w:i/>
                <w:color w:val="000000"/>
                <w:sz w:val="20"/>
                <w:szCs w:val="20"/>
                <w:lang w:val="en-GB" w:bidi="ar-SA"/>
              </w:rPr>
              <w:t xml:space="preserve">et al. </w:t>
            </w:r>
            <w:r w:rsidRPr="00A92233">
              <w:rPr>
                <w:rFonts w:eastAsia="Trebuchet MS" w:cs="Arial"/>
                <w:color w:val="000000"/>
                <w:sz w:val="20"/>
                <w:szCs w:val="20"/>
                <w:lang w:val="en-GB" w:bidi="ar-SA"/>
              </w:rPr>
              <w:t>(1999)</w:t>
            </w:r>
          </w:p>
          <w:p w14:paraId="23C7A0EF" w14:textId="31FFE3B9" w:rsidR="005F018D" w:rsidRPr="00A92233" w:rsidRDefault="005F018D" w:rsidP="005F018D">
            <w:pPr>
              <w:widowControl/>
              <w:ind w:left="72"/>
              <w:textAlignment w:val="baseline"/>
              <w:rPr>
                <w:rFonts w:eastAsia="Trebuchet MS" w:cs="Arial"/>
                <w:color w:val="000000"/>
                <w:sz w:val="20"/>
                <w:szCs w:val="20"/>
                <w:lang w:val="en-GB" w:bidi="ar-SA"/>
              </w:rPr>
            </w:pPr>
          </w:p>
          <w:p w14:paraId="77BB2241" w14:textId="286F0051" w:rsidR="004D7E82" w:rsidRPr="00A92233" w:rsidRDefault="005F018D"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 xml:space="preserve">DB </w:t>
            </w:r>
            <w:r w:rsidRPr="00A92233">
              <w:rPr>
                <w:rFonts w:eastAsia="Trebuchet MS"/>
                <w:sz w:val="20"/>
                <w:szCs w:val="20"/>
                <w:lang w:val="en-GB"/>
              </w:rPr>
              <w:t>RCT</w:t>
            </w:r>
          </w:p>
        </w:tc>
        <w:tc>
          <w:tcPr>
            <w:tcW w:w="868" w:type="dxa"/>
            <w:gridSpan w:val="2"/>
            <w:tcBorders>
              <w:top w:val="single" w:sz="4" w:space="0" w:color="000000"/>
              <w:left w:val="single" w:sz="4" w:space="0" w:color="000000"/>
              <w:bottom w:val="single" w:sz="4" w:space="0" w:color="000000"/>
              <w:right w:val="single" w:sz="4" w:space="0" w:color="000000"/>
            </w:tcBorders>
          </w:tcPr>
          <w:p w14:paraId="611DFFB0" w14:textId="3490AEA7" w:rsidR="004D7E82" w:rsidRPr="00A92233" w:rsidRDefault="004D7E82" w:rsidP="005F018D">
            <w:pPr>
              <w:widowControl/>
              <w:ind w:left="120"/>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0.34</w:t>
            </w:r>
          </w:p>
        </w:tc>
        <w:tc>
          <w:tcPr>
            <w:tcW w:w="874" w:type="dxa"/>
            <w:gridSpan w:val="2"/>
            <w:tcBorders>
              <w:top w:val="single" w:sz="4" w:space="0" w:color="000000"/>
              <w:left w:val="single" w:sz="4" w:space="0" w:color="000000"/>
              <w:bottom w:val="single" w:sz="4" w:space="0" w:color="000000"/>
              <w:right w:val="single" w:sz="4" w:space="0" w:color="000000"/>
            </w:tcBorders>
          </w:tcPr>
          <w:p w14:paraId="56E6E850" w14:textId="2D891A2E"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0.34</w:t>
            </w:r>
          </w:p>
        </w:tc>
        <w:tc>
          <w:tcPr>
            <w:tcW w:w="1886" w:type="dxa"/>
            <w:gridSpan w:val="2"/>
            <w:tcBorders>
              <w:top w:val="single" w:sz="4" w:space="0" w:color="000000"/>
              <w:left w:val="single" w:sz="4" w:space="0" w:color="000000"/>
              <w:bottom w:val="single" w:sz="4" w:space="0" w:color="000000"/>
              <w:right w:val="single" w:sz="4" w:space="0" w:color="000000"/>
            </w:tcBorders>
          </w:tcPr>
          <w:p w14:paraId="736B3C0C" w14:textId="7FBE248F" w:rsidR="004D7E82" w:rsidRPr="00A92233" w:rsidRDefault="004D7E82" w:rsidP="005F018D">
            <w:pPr>
              <w:widowControl/>
              <w:ind w:left="120"/>
              <w:textAlignment w:val="baseline"/>
              <w:rPr>
                <w:rFonts w:eastAsia="Trebuchet MS" w:cs="Arial"/>
                <w:color w:val="000000"/>
                <w:spacing w:val="-3"/>
                <w:sz w:val="20"/>
                <w:szCs w:val="20"/>
                <w:lang w:val="en-GB" w:bidi="ar-SA"/>
              </w:rPr>
            </w:pPr>
            <w:r w:rsidRPr="00A92233">
              <w:rPr>
                <w:rFonts w:eastAsia="Trebuchet MS" w:cs="Arial"/>
                <w:color w:val="000000"/>
                <w:spacing w:val="-3"/>
                <w:sz w:val="20"/>
                <w:szCs w:val="20"/>
                <w:lang w:val="en-GB" w:bidi="ar-SA"/>
              </w:rPr>
              <w:t>33/21/21</w:t>
            </w:r>
          </w:p>
        </w:tc>
        <w:tc>
          <w:tcPr>
            <w:tcW w:w="2405" w:type="dxa"/>
            <w:gridSpan w:val="2"/>
            <w:tcBorders>
              <w:top w:val="single" w:sz="4" w:space="0" w:color="000000"/>
              <w:left w:val="single" w:sz="4" w:space="0" w:color="000000"/>
              <w:bottom w:val="single" w:sz="4" w:space="0" w:color="000000"/>
              <w:right w:val="single" w:sz="4" w:space="0" w:color="000000"/>
            </w:tcBorders>
          </w:tcPr>
          <w:p w14:paraId="73EB8347" w14:textId="3C8D7796" w:rsidR="004D7E82" w:rsidRPr="00A92233" w:rsidRDefault="004D7E82" w:rsidP="005F018D">
            <w:pPr>
              <w:widowControl/>
              <w:ind w:left="1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5-7 days/12 mo</w:t>
            </w:r>
          </w:p>
        </w:tc>
        <w:tc>
          <w:tcPr>
            <w:tcW w:w="2271" w:type="dxa"/>
            <w:gridSpan w:val="2"/>
            <w:tcBorders>
              <w:top w:val="single" w:sz="4" w:space="0" w:color="000000"/>
              <w:left w:val="single" w:sz="4" w:space="0" w:color="000000"/>
              <w:bottom w:val="single" w:sz="4" w:space="0" w:color="000000"/>
              <w:right w:val="single" w:sz="4" w:space="0" w:color="000000"/>
            </w:tcBorders>
          </w:tcPr>
          <w:p w14:paraId="2D1842CA" w14:textId="7B5CF5A6" w:rsidR="004D7E82" w:rsidRPr="00A92233" w:rsidRDefault="004D7E82" w:rsidP="005F018D">
            <w:pPr>
              <w:widowControl/>
              <w:ind w:left="108" w:right="720"/>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No difference in growth (weight, length, head circumference) between groups</w:t>
            </w:r>
          </w:p>
        </w:tc>
        <w:tc>
          <w:tcPr>
            <w:tcW w:w="3336" w:type="dxa"/>
            <w:gridSpan w:val="2"/>
            <w:tcBorders>
              <w:top w:val="single" w:sz="4" w:space="0" w:color="000000"/>
              <w:left w:val="single" w:sz="4" w:space="0" w:color="000000"/>
              <w:bottom w:val="single" w:sz="4" w:space="0" w:color="000000"/>
              <w:right w:val="single" w:sz="4" w:space="0" w:color="000000"/>
            </w:tcBorders>
          </w:tcPr>
          <w:p w14:paraId="16C70CF0" w14:textId="3848E58E" w:rsidR="004D7E82" w:rsidRPr="00A92233" w:rsidRDefault="004D7E82" w:rsidP="005F018D">
            <w:pPr>
              <w:widowControl/>
              <w:ind w:left="72" w:right="25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selection and allocation procedures described; disposition of subjects provided; appropriate outcomes, outcomes reliably measured.</w:t>
            </w:r>
          </w:p>
          <w:p w14:paraId="6D480696" w14:textId="6265CBE9" w:rsidR="004D7E82" w:rsidRPr="00A92233" w:rsidRDefault="004D7E82" w:rsidP="005F018D">
            <w:pPr>
              <w:widowControl/>
              <w:ind w:left="72" w:right="36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Groups differed somewhat at baseline; Drop-out rate 18%; statistical power limited, i.e. n=25 per group required, n=21 completed.</w:t>
            </w:r>
          </w:p>
          <w:p w14:paraId="47CCBF18" w14:textId="77777777" w:rsidR="005F018D" w:rsidRPr="00A92233" w:rsidRDefault="005F018D" w:rsidP="005F018D">
            <w:pPr>
              <w:widowControl/>
              <w:ind w:left="72" w:right="360"/>
              <w:textAlignment w:val="baseline"/>
              <w:rPr>
                <w:rFonts w:eastAsia="Trebuchet MS" w:cs="Arial"/>
                <w:color w:val="000000"/>
                <w:sz w:val="20"/>
                <w:szCs w:val="20"/>
                <w:lang w:val="en-GB" w:bidi="ar-SA"/>
              </w:rPr>
            </w:pPr>
          </w:p>
          <w:p w14:paraId="7F31998E" w14:textId="764C87FA"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limited quality</w:t>
            </w:r>
          </w:p>
        </w:tc>
      </w:tr>
      <w:tr w:rsidR="005F018D" w:rsidRPr="00DE5269" w14:paraId="658408E4" w14:textId="77777777" w:rsidTr="005F018D">
        <w:trPr>
          <w:gridBefore w:val="1"/>
          <w:wBefore w:w="11" w:type="dxa"/>
          <w:cantSplit/>
        </w:trPr>
        <w:tc>
          <w:tcPr>
            <w:tcW w:w="1714" w:type="dxa"/>
            <w:gridSpan w:val="2"/>
            <w:tcBorders>
              <w:top w:val="single" w:sz="4" w:space="0" w:color="000000"/>
              <w:left w:val="single" w:sz="4" w:space="0" w:color="000000"/>
              <w:bottom w:val="single" w:sz="4" w:space="0" w:color="000000"/>
              <w:right w:val="single" w:sz="4" w:space="0" w:color="000000"/>
            </w:tcBorders>
          </w:tcPr>
          <w:p w14:paraId="1AE9C038" w14:textId="4ACF893D" w:rsidR="005F018D" w:rsidRPr="00A92233" w:rsidRDefault="005F018D" w:rsidP="0071765A">
            <w:pPr>
              <w:widowControl/>
              <w:ind w:left="120"/>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O’Connor et al.</w:t>
            </w:r>
          </w:p>
          <w:p w14:paraId="147FF5CB" w14:textId="77777777" w:rsidR="005F018D" w:rsidRPr="00A92233" w:rsidRDefault="005F018D" w:rsidP="0071765A">
            <w:pPr>
              <w:ind w:left="108" w:right="16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(2001)* </w:t>
            </w:r>
          </w:p>
          <w:p w14:paraId="0C05313C" w14:textId="77777777" w:rsidR="005F018D" w:rsidRPr="00A92233" w:rsidRDefault="005F018D" w:rsidP="0071765A">
            <w:pPr>
              <w:ind w:left="108" w:right="164"/>
              <w:textAlignment w:val="baseline"/>
              <w:rPr>
                <w:rFonts w:eastAsia="Trebuchet MS" w:cs="Arial"/>
                <w:color w:val="000000"/>
                <w:sz w:val="20"/>
                <w:szCs w:val="20"/>
                <w:lang w:val="en-GB" w:bidi="ar-SA"/>
              </w:rPr>
            </w:pPr>
          </w:p>
          <w:p w14:paraId="3F8B0A62" w14:textId="590E4053" w:rsidR="005F018D" w:rsidRPr="00A92233" w:rsidRDefault="005F018D"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pacing w:val="-2"/>
                <w:sz w:val="20"/>
                <w:szCs w:val="20"/>
                <w:lang w:val="en-GB" w:bidi="ar-SA"/>
              </w:rPr>
              <w:t xml:space="preserve">DB </w:t>
            </w:r>
            <w:r w:rsidRPr="00A92233">
              <w:rPr>
                <w:rFonts w:eastAsia="Trebuchet MS"/>
                <w:sz w:val="20"/>
                <w:szCs w:val="20"/>
                <w:lang w:val="en-GB"/>
              </w:rPr>
              <w:t>RCT</w:t>
            </w:r>
          </w:p>
        </w:tc>
        <w:tc>
          <w:tcPr>
            <w:tcW w:w="868" w:type="dxa"/>
            <w:gridSpan w:val="2"/>
            <w:tcBorders>
              <w:top w:val="single" w:sz="4" w:space="0" w:color="000000"/>
              <w:left w:val="single" w:sz="4" w:space="0" w:color="000000"/>
              <w:bottom w:val="single" w:sz="4" w:space="0" w:color="000000"/>
              <w:right w:val="single" w:sz="4" w:space="0" w:color="000000"/>
            </w:tcBorders>
          </w:tcPr>
          <w:p w14:paraId="7E9BD3CE" w14:textId="77777777" w:rsidR="005F018D" w:rsidRPr="00A92233" w:rsidRDefault="005F018D" w:rsidP="0071765A">
            <w:pPr>
              <w:widowControl/>
              <w:tabs>
                <w:tab w:val="decimal" w:pos="216"/>
              </w:tabs>
              <w:textAlignment w:val="baseline"/>
              <w:rPr>
                <w:rFonts w:eastAsia="Trebuchet MS" w:cs="Arial"/>
                <w:color w:val="000000"/>
                <w:spacing w:val="-3"/>
                <w:sz w:val="20"/>
                <w:szCs w:val="20"/>
                <w:lang w:val="en-GB" w:bidi="ar-SA"/>
              </w:rPr>
            </w:pPr>
            <w:r w:rsidRPr="00A92233">
              <w:rPr>
                <w:rFonts w:eastAsia="Trebuchet MS" w:cs="Arial"/>
                <w:color w:val="000000"/>
                <w:spacing w:val="-3"/>
                <w:sz w:val="20"/>
                <w:szCs w:val="20"/>
                <w:lang w:val="en-GB" w:bidi="ar-SA"/>
              </w:rPr>
              <w:t>0.41-</w:t>
            </w:r>
          </w:p>
          <w:p w14:paraId="541A2512" w14:textId="3B1982BE" w:rsidR="005F018D" w:rsidRPr="00A92233" w:rsidRDefault="005F018D" w:rsidP="005F018D">
            <w:pPr>
              <w:widowControl/>
              <w:ind w:left="120"/>
              <w:textAlignment w:val="baseline"/>
              <w:rPr>
                <w:rFonts w:eastAsia="Trebuchet MS" w:cs="Arial"/>
                <w:color w:val="000000"/>
                <w:spacing w:val="-1"/>
                <w:sz w:val="20"/>
                <w:szCs w:val="20"/>
                <w:lang w:val="en-GB" w:bidi="ar-SA"/>
              </w:rPr>
            </w:pPr>
            <w:r w:rsidRPr="00A92233">
              <w:rPr>
                <w:rFonts w:eastAsia="Trebuchet MS" w:cs="Arial"/>
                <w:color w:val="000000"/>
                <w:spacing w:val="-2"/>
                <w:sz w:val="20"/>
                <w:szCs w:val="20"/>
                <w:lang w:val="en-GB" w:bidi="ar-SA"/>
              </w:rPr>
              <w:t>0.43</w:t>
            </w:r>
          </w:p>
        </w:tc>
        <w:tc>
          <w:tcPr>
            <w:tcW w:w="874" w:type="dxa"/>
            <w:gridSpan w:val="2"/>
            <w:tcBorders>
              <w:top w:val="single" w:sz="4" w:space="0" w:color="000000"/>
              <w:left w:val="single" w:sz="4" w:space="0" w:color="000000"/>
              <w:bottom w:val="single" w:sz="4" w:space="0" w:color="000000"/>
              <w:right w:val="single" w:sz="4" w:space="0" w:color="000000"/>
            </w:tcBorders>
          </w:tcPr>
          <w:p w14:paraId="5CB98512" w14:textId="77777777" w:rsidR="005F018D" w:rsidRPr="00A92233" w:rsidRDefault="005F018D" w:rsidP="0071765A">
            <w:pPr>
              <w:widowControl/>
              <w:ind w:left="120"/>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0.15-</w:t>
            </w:r>
          </w:p>
          <w:p w14:paraId="0A0D0AB8" w14:textId="5432D968" w:rsidR="005F018D" w:rsidRPr="00A92233" w:rsidRDefault="005F018D"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pacing w:val="-3"/>
                <w:sz w:val="20"/>
                <w:szCs w:val="20"/>
                <w:lang w:val="en-GB" w:bidi="ar-SA"/>
              </w:rPr>
              <w:t>.0.27</w:t>
            </w:r>
          </w:p>
        </w:tc>
        <w:tc>
          <w:tcPr>
            <w:tcW w:w="1886" w:type="dxa"/>
            <w:gridSpan w:val="2"/>
            <w:tcBorders>
              <w:top w:val="single" w:sz="4" w:space="0" w:color="000000"/>
              <w:left w:val="single" w:sz="4" w:space="0" w:color="000000"/>
              <w:bottom w:val="single" w:sz="4" w:space="0" w:color="000000"/>
              <w:right w:val="single" w:sz="4" w:space="0" w:color="000000"/>
            </w:tcBorders>
          </w:tcPr>
          <w:p w14:paraId="3160ECE4" w14:textId="3DCB4AC4" w:rsidR="005F018D" w:rsidRPr="00A92233" w:rsidRDefault="005F018D" w:rsidP="005F018D">
            <w:pPr>
              <w:widowControl/>
              <w:ind w:left="120"/>
              <w:textAlignment w:val="baseline"/>
              <w:rPr>
                <w:rFonts w:eastAsia="Trebuchet MS" w:cs="Arial"/>
                <w:color w:val="000000"/>
                <w:spacing w:val="-3"/>
                <w:sz w:val="20"/>
                <w:szCs w:val="20"/>
                <w:lang w:val="en-GB" w:bidi="ar-SA"/>
              </w:rPr>
            </w:pPr>
            <w:r w:rsidRPr="00A92233">
              <w:rPr>
                <w:rFonts w:eastAsia="Trebuchet MS" w:cs="Arial"/>
                <w:color w:val="000000"/>
                <w:sz w:val="20"/>
                <w:szCs w:val="20"/>
                <w:lang w:val="en-GB" w:bidi="ar-SA"/>
              </w:rPr>
              <w:t>43/91/180</w:t>
            </w:r>
          </w:p>
        </w:tc>
        <w:tc>
          <w:tcPr>
            <w:tcW w:w="2405" w:type="dxa"/>
            <w:gridSpan w:val="2"/>
            <w:tcBorders>
              <w:top w:val="single" w:sz="4" w:space="0" w:color="000000"/>
              <w:left w:val="single" w:sz="4" w:space="0" w:color="000000"/>
              <w:bottom w:val="single" w:sz="4" w:space="0" w:color="000000"/>
              <w:right w:val="single" w:sz="4" w:space="0" w:color="000000"/>
            </w:tcBorders>
          </w:tcPr>
          <w:p w14:paraId="6E6CBB92" w14:textId="3B000ED4" w:rsidR="005F018D" w:rsidRPr="00A92233" w:rsidRDefault="005F018D" w:rsidP="005F018D">
            <w:pPr>
              <w:widowControl/>
              <w:ind w:left="1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~3 days/12 mo</w:t>
            </w:r>
          </w:p>
        </w:tc>
        <w:tc>
          <w:tcPr>
            <w:tcW w:w="2271" w:type="dxa"/>
            <w:gridSpan w:val="2"/>
            <w:tcBorders>
              <w:top w:val="single" w:sz="4" w:space="0" w:color="000000"/>
              <w:left w:val="single" w:sz="4" w:space="0" w:color="000000"/>
              <w:bottom w:val="single" w:sz="4" w:space="0" w:color="000000"/>
              <w:right w:val="single" w:sz="4" w:space="0" w:color="000000"/>
            </w:tcBorders>
          </w:tcPr>
          <w:p w14:paraId="0C45BBC0" w14:textId="77777777" w:rsidR="005F018D" w:rsidRPr="00A92233" w:rsidRDefault="005F018D" w:rsidP="0071765A">
            <w:pPr>
              <w:widowControl/>
              <w:ind w:left="115"/>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No difference in</w:t>
            </w:r>
          </w:p>
          <w:p w14:paraId="5C64BA96" w14:textId="6A407B55" w:rsidR="005F018D" w:rsidRPr="00A92233" w:rsidRDefault="005F018D" w:rsidP="005F018D">
            <w:pPr>
              <w:widowControl/>
              <w:ind w:left="108" w:right="720"/>
              <w:textAlignment w:val="baseline"/>
              <w:rPr>
                <w:rFonts w:eastAsia="Trebuchet MS" w:cs="Arial"/>
                <w:color w:val="000000"/>
                <w:spacing w:val="-2"/>
                <w:sz w:val="20"/>
                <w:szCs w:val="20"/>
                <w:lang w:val="en-GB" w:bidi="ar-SA"/>
              </w:rPr>
            </w:pPr>
            <w:r w:rsidRPr="00A92233">
              <w:rPr>
                <w:rFonts w:eastAsia="Trebuchet MS" w:cs="Arial"/>
                <w:color w:val="000000"/>
                <w:sz w:val="20"/>
                <w:szCs w:val="20"/>
                <w:lang w:val="en-GB" w:bidi="ar-SA"/>
              </w:rPr>
              <w:t>growth (weight, length, head circumference) between groups</w:t>
            </w:r>
          </w:p>
        </w:tc>
        <w:tc>
          <w:tcPr>
            <w:tcW w:w="3336" w:type="dxa"/>
            <w:gridSpan w:val="2"/>
            <w:tcBorders>
              <w:top w:val="single" w:sz="4" w:space="0" w:color="000000"/>
              <w:left w:val="single" w:sz="4" w:space="0" w:color="000000"/>
              <w:bottom w:val="single" w:sz="4" w:space="0" w:color="000000"/>
              <w:right w:val="single" w:sz="4" w:space="0" w:color="000000"/>
            </w:tcBorders>
          </w:tcPr>
          <w:p w14:paraId="0CC2AE89" w14:textId="77777777" w:rsidR="005F018D" w:rsidRPr="00A92233" w:rsidRDefault="005F018D" w:rsidP="0071765A">
            <w:pPr>
              <w:widowControl/>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w:t>
            </w:r>
          </w:p>
          <w:p w14:paraId="23AE7871" w14:textId="77777777" w:rsidR="005F018D" w:rsidRPr="00A92233" w:rsidRDefault="005F018D" w:rsidP="0071765A">
            <w:pPr>
              <w:widowControl/>
              <w:ind w:left="108" w:right="216"/>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baseline; selection and allocation procedures described; disposition of subjects provided; appropriate outcomes, outcomes reliably measured; adequate statistical power, large study population.</w:t>
            </w:r>
          </w:p>
          <w:p w14:paraId="774F4324" w14:textId="77777777" w:rsidR="005F018D" w:rsidRPr="00A92233" w:rsidRDefault="005F018D" w:rsidP="0071765A">
            <w:pPr>
              <w:widowControl/>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drop-out rate (20%)</w:t>
            </w:r>
          </w:p>
          <w:p w14:paraId="196D1DB3" w14:textId="77777777" w:rsidR="005F018D" w:rsidRPr="00A92233" w:rsidRDefault="005F018D" w:rsidP="0071765A">
            <w:pPr>
              <w:widowControl/>
              <w:ind w:left="115"/>
              <w:textAlignment w:val="baseline"/>
              <w:rPr>
                <w:rFonts w:eastAsia="Trebuchet MS" w:cs="Arial"/>
                <w:color w:val="000000"/>
                <w:sz w:val="20"/>
                <w:szCs w:val="20"/>
                <w:lang w:val="en-GB" w:bidi="ar-SA"/>
              </w:rPr>
            </w:pPr>
          </w:p>
          <w:p w14:paraId="1F56F1B9" w14:textId="4911CC18" w:rsidR="005F018D" w:rsidRPr="00A92233" w:rsidRDefault="005F018D" w:rsidP="005F018D">
            <w:pPr>
              <w:widowControl/>
              <w:ind w:left="72" w:right="25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moderate-high quality</w:t>
            </w:r>
          </w:p>
        </w:tc>
      </w:tr>
      <w:tr w:rsidR="005F018D" w:rsidRPr="00DE5269" w14:paraId="51E9E46D" w14:textId="1F3BFD8C" w:rsidTr="002129F9">
        <w:trPr>
          <w:gridBefore w:val="1"/>
          <w:wBefore w:w="11" w:type="dxa"/>
          <w:cantSplit/>
        </w:trPr>
        <w:tc>
          <w:tcPr>
            <w:tcW w:w="1714" w:type="dxa"/>
            <w:gridSpan w:val="2"/>
            <w:tcBorders>
              <w:top w:val="single" w:sz="4" w:space="0" w:color="000000"/>
              <w:left w:val="single" w:sz="4" w:space="0" w:color="000000"/>
              <w:bottom w:val="none" w:sz="0" w:space="0" w:color="000000"/>
              <w:right w:val="single" w:sz="4" w:space="0" w:color="000000"/>
            </w:tcBorders>
          </w:tcPr>
          <w:p w14:paraId="395C3A7D" w14:textId="057B3460" w:rsidR="005F018D" w:rsidRPr="00A92233" w:rsidRDefault="005F018D" w:rsidP="005F018D">
            <w:pPr>
              <w:ind w:left="108" w:right="164"/>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lastRenderedPageBreak/>
              <w:t>Vanderhoof et al (1999)*</w:t>
            </w:r>
          </w:p>
          <w:p w14:paraId="086FCE54" w14:textId="77777777" w:rsidR="005F018D" w:rsidRPr="00A92233" w:rsidRDefault="005F018D" w:rsidP="005F018D">
            <w:pPr>
              <w:ind w:left="108" w:right="164"/>
              <w:textAlignment w:val="baseline"/>
              <w:rPr>
                <w:rFonts w:eastAsia="Trebuchet MS" w:cs="Arial"/>
                <w:color w:val="000000"/>
                <w:spacing w:val="-2"/>
                <w:sz w:val="20"/>
                <w:szCs w:val="20"/>
                <w:lang w:val="en-GB" w:bidi="ar-SA"/>
              </w:rPr>
            </w:pPr>
          </w:p>
          <w:p w14:paraId="223CA681" w14:textId="67E78D14" w:rsidR="005F018D" w:rsidRPr="00A92233" w:rsidRDefault="005F018D" w:rsidP="005F018D">
            <w:pPr>
              <w:spacing w:after="100" w:afterAutospacing="1"/>
              <w:ind w:left="108" w:right="164"/>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 xml:space="preserve">DB </w:t>
            </w:r>
            <w:r w:rsidRPr="00A92233">
              <w:rPr>
                <w:rFonts w:eastAsia="Trebuchet MS"/>
                <w:sz w:val="20"/>
                <w:szCs w:val="20"/>
                <w:lang w:val="en-GB"/>
              </w:rPr>
              <w:t>RCT</w:t>
            </w:r>
          </w:p>
        </w:tc>
        <w:tc>
          <w:tcPr>
            <w:tcW w:w="868" w:type="dxa"/>
            <w:gridSpan w:val="2"/>
            <w:tcBorders>
              <w:top w:val="single" w:sz="4" w:space="0" w:color="000000"/>
              <w:left w:val="single" w:sz="4" w:space="0" w:color="000000"/>
              <w:bottom w:val="none" w:sz="0" w:space="0" w:color="000000"/>
              <w:right w:val="single" w:sz="4" w:space="0" w:color="000000"/>
            </w:tcBorders>
          </w:tcPr>
          <w:p w14:paraId="0BCC5538" w14:textId="6E657AE2" w:rsidR="005F018D" w:rsidRPr="00A92233" w:rsidRDefault="005F018D" w:rsidP="005F018D">
            <w:pPr>
              <w:widowControl/>
              <w:tabs>
                <w:tab w:val="decimal" w:pos="216"/>
              </w:tabs>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0.50</w:t>
            </w:r>
          </w:p>
        </w:tc>
        <w:tc>
          <w:tcPr>
            <w:tcW w:w="874" w:type="dxa"/>
            <w:gridSpan w:val="2"/>
            <w:tcBorders>
              <w:top w:val="single" w:sz="4" w:space="0" w:color="000000"/>
              <w:left w:val="single" w:sz="4" w:space="0" w:color="000000"/>
              <w:bottom w:val="none" w:sz="0" w:space="0" w:color="000000"/>
              <w:right w:val="single" w:sz="4" w:space="0" w:color="000000"/>
            </w:tcBorders>
          </w:tcPr>
          <w:p w14:paraId="38EDFB38" w14:textId="46282B0F" w:rsidR="005F018D" w:rsidRPr="00A92233" w:rsidRDefault="005F018D" w:rsidP="005F018D">
            <w:pPr>
              <w:widowControl/>
              <w:ind w:left="120"/>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0.35</w:t>
            </w:r>
          </w:p>
        </w:tc>
        <w:tc>
          <w:tcPr>
            <w:tcW w:w="1886" w:type="dxa"/>
            <w:gridSpan w:val="2"/>
            <w:tcBorders>
              <w:top w:val="single" w:sz="4" w:space="0" w:color="000000"/>
              <w:left w:val="single" w:sz="4" w:space="0" w:color="000000"/>
              <w:bottom w:val="none" w:sz="0" w:space="0" w:color="000000"/>
              <w:right w:val="single" w:sz="4" w:space="0" w:color="000000"/>
            </w:tcBorders>
          </w:tcPr>
          <w:p w14:paraId="1CCB5DD3" w14:textId="0E08BB24" w:rsidR="005F018D" w:rsidRPr="00A92233" w:rsidRDefault="005F018D" w:rsidP="005F018D">
            <w:pPr>
              <w:widowControl/>
              <w:ind w:left="115"/>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133/78/77</w:t>
            </w:r>
          </w:p>
        </w:tc>
        <w:tc>
          <w:tcPr>
            <w:tcW w:w="2405" w:type="dxa"/>
            <w:gridSpan w:val="2"/>
            <w:tcBorders>
              <w:top w:val="single" w:sz="4" w:space="0" w:color="000000"/>
              <w:left w:val="single" w:sz="4" w:space="0" w:color="000000"/>
              <w:bottom w:val="none" w:sz="0" w:space="0" w:color="000000"/>
              <w:right w:val="single" w:sz="4" w:space="0" w:color="000000"/>
            </w:tcBorders>
          </w:tcPr>
          <w:p w14:paraId="40DB3042" w14:textId="7FFFFBA3" w:rsidR="005F018D" w:rsidRPr="00A92233" w:rsidRDefault="005F018D" w:rsidP="005F018D">
            <w:pPr>
              <w:widowControl/>
              <w:ind w:left="1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~21 days/6 mo</w:t>
            </w:r>
          </w:p>
        </w:tc>
        <w:tc>
          <w:tcPr>
            <w:tcW w:w="2271" w:type="dxa"/>
            <w:gridSpan w:val="2"/>
            <w:tcBorders>
              <w:top w:val="single" w:sz="4" w:space="0" w:color="000000"/>
              <w:left w:val="single" w:sz="4" w:space="0" w:color="000000"/>
              <w:bottom w:val="none" w:sz="0" w:space="0" w:color="000000"/>
              <w:right w:val="single" w:sz="4" w:space="0" w:color="000000"/>
            </w:tcBorders>
          </w:tcPr>
          <w:p w14:paraId="33D72E31" w14:textId="31BB6101" w:rsidR="005F018D" w:rsidRPr="00A92233" w:rsidRDefault="005F018D" w:rsidP="005F018D">
            <w:pPr>
              <w:widowControl/>
              <w:ind w:left="108" w:right="288"/>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DHA and ARA from algal and fungal oils promoted length and wt at 40 wk PCA </w:t>
            </w:r>
            <w:r w:rsidRPr="00A92233">
              <w:rPr>
                <w:rFonts w:eastAsia="Trebuchet MS" w:cs="Arial"/>
                <w:i/>
                <w:color w:val="000000"/>
                <w:sz w:val="20"/>
                <w:szCs w:val="20"/>
                <w:lang w:val="en-GB" w:bidi="ar-SA"/>
              </w:rPr>
              <w:t xml:space="preserve">vs. </w:t>
            </w:r>
            <w:r w:rsidRPr="00A92233">
              <w:rPr>
                <w:rFonts w:eastAsia="Trebuchet MS" w:cs="Arial"/>
                <w:color w:val="000000"/>
                <w:sz w:val="20"/>
                <w:szCs w:val="20"/>
                <w:lang w:val="en-GB" w:bidi="ar-SA"/>
              </w:rPr>
              <w:t>BF (P&lt;.05).</w:t>
            </w:r>
          </w:p>
        </w:tc>
        <w:tc>
          <w:tcPr>
            <w:tcW w:w="3336" w:type="dxa"/>
            <w:gridSpan w:val="2"/>
            <w:tcBorders>
              <w:top w:val="single" w:sz="4" w:space="0" w:color="000000"/>
              <w:left w:val="single" w:sz="4" w:space="0" w:color="000000"/>
              <w:bottom w:val="none" w:sz="0" w:space="0" w:color="000000"/>
              <w:right w:val="single" w:sz="4" w:space="0" w:color="000000"/>
            </w:tcBorders>
          </w:tcPr>
          <w:p w14:paraId="6113DBF3" w14:textId="6F5AB268" w:rsidR="005F018D" w:rsidRPr="00A92233" w:rsidRDefault="005F018D" w:rsidP="004D7E82">
            <w:pPr>
              <w:widowControl/>
              <w:spacing w:before="42" w:after="96" w:line="232" w:lineRule="exact"/>
              <w:ind w:left="108"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 baseline; selection and allocation procedures described; disposition of subjects provided; appropriate outcomes, outcomes reliably measured; adequate statistical power, large study</w:t>
            </w:r>
          </w:p>
        </w:tc>
      </w:tr>
      <w:tr w:rsidR="005F018D" w:rsidRPr="00DE5269" w14:paraId="744AA098" w14:textId="62FB9C8A" w:rsidTr="002129F9">
        <w:trPr>
          <w:gridBefore w:val="1"/>
          <w:wBefore w:w="11" w:type="dxa"/>
          <w:cantSplit/>
        </w:trPr>
        <w:tc>
          <w:tcPr>
            <w:tcW w:w="1714" w:type="dxa"/>
            <w:gridSpan w:val="2"/>
            <w:tcBorders>
              <w:top w:val="none" w:sz="0" w:space="0" w:color="000000"/>
              <w:left w:val="single" w:sz="4" w:space="0" w:color="000000"/>
              <w:bottom w:val="none" w:sz="0" w:space="0" w:color="000000"/>
              <w:right w:val="single" w:sz="4" w:space="0" w:color="000000"/>
            </w:tcBorders>
          </w:tcPr>
          <w:p w14:paraId="14ECF9B3" w14:textId="3F3F02C9" w:rsidR="005F018D" w:rsidRPr="00A92233" w:rsidRDefault="005F018D" w:rsidP="004D7E82">
            <w:pPr>
              <w:widowControl/>
              <w:textAlignment w:val="baseline"/>
              <w:rPr>
                <w:rFonts w:eastAsia="Trebuchet MS" w:cs="Arial"/>
                <w:color w:val="000000"/>
                <w:sz w:val="20"/>
                <w:szCs w:val="20"/>
                <w:lang w:val="en-GB" w:bidi="ar-SA"/>
              </w:rPr>
            </w:pPr>
          </w:p>
        </w:tc>
        <w:tc>
          <w:tcPr>
            <w:tcW w:w="868" w:type="dxa"/>
            <w:gridSpan w:val="2"/>
            <w:tcBorders>
              <w:top w:val="none" w:sz="0" w:space="0" w:color="000000"/>
              <w:left w:val="single" w:sz="4" w:space="0" w:color="000000"/>
              <w:bottom w:val="none" w:sz="0" w:space="0" w:color="000000"/>
              <w:right w:val="single" w:sz="4" w:space="0" w:color="000000"/>
            </w:tcBorders>
          </w:tcPr>
          <w:p w14:paraId="6234022C" w14:textId="0AEF7A31" w:rsidR="005F018D" w:rsidRPr="00A92233" w:rsidRDefault="005F018D" w:rsidP="004D7E82">
            <w:pPr>
              <w:widowControl/>
              <w:textAlignment w:val="baseline"/>
              <w:rPr>
                <w:rFonts w:eastAsia="Trebuchet MS" w:cs="Arial"/>
                <w:color w:val="000000"/>
                <w:sz w:val="20"/>
                <w:szCs w:val="20"/>
                <w:lang w:val="en-GB" w:bidi="ar-SA"/>
              </w:rPr>
            </w:pPr>
          </w:p>
        </w:tc>
        <w:tc>
          <w:tcPr>
            <w:tcW w:w="874" w:type="dxa"/>
            <w:gridSpan w:val="2"/>
            <w:tcBorders>
              <w:top w:val="none" w:sz="0" w:space="0" w:color="000000"/>
              <w:left w:val="single" w:sz="4" w:space="0" w:color="000000"/>
              <w:bottom w:val="none" w:sz="0" w:space="0" w:color="000000"/>
              <w:right w:val="single" w:sz="4" w:space="0" w:color="000000"/>
            </w:tcBorders>
          </w:tcPr>
          <w:p w14:paraId="00442A08" w14:textId="202F5B08" w:rsidR="005F018D" w:rsidRPr="00A92233" w:rsidRDefault="005F018D" w:rsidP="004D7E82">
            <w:pPr>
              <w:widowControl/>
              <w:textAlignment w:val="baseline"/>
              <w:rPr>
                <w:rFonts w:eastAsia="Trebuchet MS" w:cs="Arial"/>
                <w:color w:val="000000"/>
                <w:sz w:val="20"/>
                <w:szCs w:val="20"/>
                <w:lang w:val="en-GB" w:bidi="ar-SA"/>
              </w:rPr>
            </w:pPr>
          </w:p>
        </w:tc>
        <w:tc>
          <w:tcPr>
            <w:tcW w:w="1886" w:type="dxa"/>
            <w:gridSpan w:val="2"/>
            <w:tcBorders>
              <w:top w:val="none" w:sz="0" w:space="0" w:color="000000"/>
              <w:left w:val="single" w:sz="4" w:space="0" w:color="000000"/>
              <w:bottom w:val="none" w:sz="0" w:space="0" w:color="000000"/>
              <w:right w:val="single" w:sz="4" w:space="0" w:color="000000"/>
            </w:tcBorders>
          </w:tcPr>
          <w:p w14:paraId="520D126D" w14:textId="53C40258" w:rsidR="005F018D" w:rsidRPr="00A92233" w:rsidRDefault="005F018D" w:rsidP="004D7E82">
            <w:pPr>
              <w:widowControl/>
              <w:textAlignment w:val="baseline"/>
              <w:rPr>
                <w:rFonts w:eastAsia="Trebuchet MS" w:cs="Arial"/>
                <w:color w:val="000000"/>
                <w:sz w:val="20"/>
                <w:szCs w:val="20"/>
                <w:lang w:val="en-GB" w:bidi="ar-SA"/>
              </w:rPr>
            </w:pPr>
          </w:p>
        </w:tc>
        <w:tc>
          <w:tcPr>
            <w:tcW w:w="2405" w:type="dxa"/>
            <w:gridSpan w:val="2"/>
            <w:tcBorders>
              <w:top w:val="none" w:sz="0" w:space="0" w:color="000000"/>
              <w:left w:val="single" w:sz="4" w:space="0" w:color="000000"/>
              <w:bottom w:val="none" w:sz="0" w:space="0" w:color="000000"/>
              <w:right w:val="single" w:sz="4" w:space="0" w:color="000000"/>
            </w:tcBorders>
          </w:tcPr>
          <w:p w14:paraId="5A88CF2B" w14:textId="219ACBE7" w:rsidR="005F018D" w:rsidRPr="00A92233" w:rsidRDefault="005F018D" w:rsidP="004D7E82">
            <w:pPr>
              <w:widowControl/>
              <w:textAlignment w:val="baseline"/>
              <w:rPr>
                <w:rFonts w:eastAsia="Trebuchet MS" w:cs="Arial"/>
                <w:color w:val="000000"/>
                <w:sz w:val="20"/>
                <w:szCs w:val="20"/>
                <w:lang w:val="en-GB" w:bidi="ar-SA"/>
              </w:rPr>
            </w:pPr>
          </w:p>
        </w:tc>
        <w:tc>
          <w:tcPr>
            <w:tcW w:w="2271" w:type="dxa"/>
            <w:gridSpan w:val="2"/>
            <w:tcBorders>
              <w:top w:val="none" w:sz="0" w:space="0" w:color="000000"/>
              <w:left w:val="single" w:sz="4" w:space="0" w:color="000000"/>
              <w:bottom w:val="none" w:sz="0" w:space="0" w:color="000000"/>
              <w:right w:val="single" w:sz="4" w:space="0" w:color="000000"/>
            </w:tcBorders>
          </w:tcPr>
          <w:p w14:paraId="4D80783E" w14:textId="4A8D1FE7" w:rsidR="005F018D" w:rsidRPr="00A92233" w:rsidRDefault="005F018D" w:rsidP="004D7E82">
            <w:pPr>
              <w:widowControl/>
              <w:textAlignment w:val="baseline"/>
              <w:rPr>
                <w:rFonts w:eastAsia="Trebuchet MS" w:cs="Arial"/>
                <w:color w:val="000000"/>
                <w:sz w:val="20"/>
                <w:szCs w:val="20"/>
                <w:lang w:val="en-GB" w:bidi="ar-SA"/>
              </w:rPr>
            </w:pPr>
          </w:p>
        </w:tc>
        <w:tc>
          <w:tcPr>
            <w:tcW w:w="3336" w:type="dxa"/>
            <w:gridSpan w:val="2"/>
            <w:tcBorders>
              <w:top w:val="none" w:sz="0" w:space="0" w:color="000000"/>
              <w:left w:val="single" w:sz="4" w:space="0" w:color="000000"/>
              <w:bottom w:val="none" w:sz="0" w:space="0" w:color="000000"/>
              <w:right w:val="single" w:sz="4" w:space="0" w:color="000000"/>
            </w:tcBorders>
            <w:vAlign w:val="center"/>
          </w:tcPr>
          <w:p w14:paraId="5491B146" w14:textId="5EA01B2A" w:rsidR="005F018D" w:rsidRPr="00A92233" w:rsidRDefault="005F018D" w:rsidP="004D7E82">
            <w:pPr>
              <w:widowControl/>
              <w:spacing w:before="123" w:line="223" w:lineRule="exact"/>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none</w:t>
            </w:r>
          </w:p>
        </w:tc>
      </w:tr>
      <w:tr w:rsidR="005F018D" w:rsidRPr="00DE5269" w14:paraId="1C4652DD" w14:textId="2874C17F" w:rsidTr="002129F9">
        <w:trPr>
          <w:gridBefore w:val="1"/>
          <w:wBefore w:w="11" w:type="dxa"/>
          <w:cantSplit/>
        </w:trPr>
        <w:tc>
          <w:tcPr>
            <w:tcW w:w="1714" w:type="dxa"/>
            <w:gridSpan w:val="2"/>
            <w:tcBorders>
              <w:top w:val="none" w:sz="0" w:space="0" w:color="000000"/>
              <w:left w:val="single" w:sz="4" w:space="0" w:color="000000"/>
              <w:bottom w:val="single" w:sz="4" w:space="0" w:color="000000"/>
              <w:right w:val="single" w:sz="4" w:space="0" w:color="000000"/>
            </w:tcBorders>
          </w:tcPr>
          <w:p w14:paraId="6DFFE313" w14:textId="033D3828" w:rsidR="005F018D" w:rsidRPr="00A92233" w:rsidRDefault="005F018D" w:rsidP="004D7E82">
            <w:pPr>
              <w:widowControl/>
              <w:textAlignment w:val="baseline"/>
              <w:rPr>
                <w:rFonts w:eastAsia="Trebuchet MS" w:cs="Arial"/>
                <w:color w:val="000000"/>
                <w:sz w:val="20"/>
                <w:szCs w:val="20"/>
                <w:lang w:val="en-GB" w:bidi="ar-SA"/>
              </w:rPr>
            </w:pPr>
          </w:p>
        </w:tc>
        <w:tc>
          <w:tcPr>
            <w:tcW w:w="868" w:type="dxa"/>
            <w:gridSpan w:val="2"/>
            <w:tcBorders>
              <w:top w:val="none" w:sz="0" w:space="0" w:color="000000"/>
              <w:left w:val="single" w:sz="4" w:space="0" w:color="000000"/>
              <w:bottom w:val="single" w:sz="4" w:space="0" w:color="000000"/>
              <w:right w:val="single" w:sz="4" w:space="0" w:color="000000"/>
            </w:tcBorders>
          </w:tcPr>
          <w:p w14:paraId="0CB7337C" w14:textId="52457989" w:rsidR="005F018D" w:rsidRPr="00A92233" w:rsidRDefault="005F018D" w:rsidP="004D7E82">
            <w:pPr>
              <w:widowControl/>
              <w:textAlignment w:val="baseline"/>
              <w:rPr>
                <w:rFonts w:eastAsia="Trebuchet MS" w:cs="Arial"/>
                <w:color w:val="000000"/>
                <w:sz w:val="20"/>
                <w:szCs w:val="20"/>
                <w:lang w:val="en-GB" w:bidi="ar-SA"/>
              </w:rPr>
            </w:pPr>
          </w:p>
        </w:tc>
        <w:tc>
          <w:tcPr>
            <w:tcW w:w="874" w:type="dxa"/>
            <w:gridSpan w:val="2"/>
            <w:tcBorders>
              <w:top w:val="none" w:sz="0" w:space="0" w:color="000000"/>
              <w:left w:val="single" w:sz="4" w:space="0" w:color="000000"/>
              <w:bottom w:val="single" w:sz="4" w:space="0" w:color="000000"/>
              <w:right w:val="single" w:sz="4" w:space="0" w:color="000000"/>
            </w:tcBorders>
          </w:tcPr>
          <w:p w14:paraId="6B3EDEF5" w14:textId="4E546824" w:rsidR="005F018D" w:rsidRPr="00A92233" w:rsidRDefault="005F018D" w:rsidP="004D7E82">
            <w:pPr>
              <w:widowControl/>
              <w:textAlignment w:val="baseline"/>
              <w:rPr>
                <w:rFonts w:eastAsia="Trebuchet MS" w:cs="Arial"/>
                <w:color w:val="000000"/>
                <w:sz w:val="20"/>
                <w:szCs w:val="20"/>
                <w:lang w:val="en-GB" w:bidi="ar-SA"/>
              </w:rPr>
            </w:pPr>
          </w:p>
        </w:tc>
        <w:tc>
          <w:tcPr>
            <w:tcW w:w="1886" w:type="dxa"/>
            <w:gridSpan w:val="2"/>
            <w:tcBorders>
              <w:top w:val="none" w:sz="0" w:space="0" w:color="000000"/>
              <w:left w:val="single" w:sz="4" w:space="0" w:color="000000"/>
              <w:bottom w:val="single" w:sz="4" w:space="0" w:color="000000"/>
              <w:right w:val="single" w:sz="4" w:space="0" w:color="000000"/>
            </w:tcBorders>
          </w:tcPr>
          <w:p w14:paraId="65FC3EB5" w14:textId="172C1216" w:rsidR="005F018D" w:rsidRPr="00A92233" w:rsidRDefault="005F018D" w:rsidP="004D7E82">
            <w:pPr>
              <w:widowControl/>
              <w:textAlignment w:val="baseline"/>
              <w:rPr>
                <w:rFonts w:eastAsia="Trebuchet MS" w:cs="Arial"/>
                <w:color w:val="000000"/>
                <w:sz w:val="20"/>
                <w:szCs w:val="20"/>
                <w:lang w:val="en-GB" w:bidi="ar-SA"/>
              </w:rPr>
            </w:pPr>
          </w:p>
        </w:tc>
        <w:tc>
          <w:tcPr>
            <w:tcW w:w="2405" w:type="dxa"/>
            <w:gridSpan w:val="2"/>
            <w:tcBorders>
              <w:top w:val="none" w:sz="0" w:space="0" w:color="000000"/>
              <w:left w:val="single" w:sz="4" w:space="0" w:color="000000"/>
              <w:bottom w:val="single" w:sz="4" w:space="0" w:color="000000"/>
              <w:right w:val="single" w:sz="4" w:space="0" w:color="000000"/>
            </w:tcBorders>
          </w:tcPr>
          <w:p w14:paraId="18FEA090" w14:textId="10BE83C7" w:rsidR="005F018D" w:rsidRPr="00A92233" w:rsidRDefault="005F018D" w:rsidP="004D7E82">
            <w:pPr>
              <w:widowControl/>
              <w:textAlignment w:val="baseline"/>
              <w:rPr>
                <w:rFonts w:eastAsia="Trebuchet MS" w:cs="Arial"/>
                <w:color w:val="000000"/>
                <w:sz w:val="20"/>
                <w:szCs w:val="20"/>
                <w:lang w:val="en-GB" w:bidi="ar-SA"/>
              </w:rPr>
            </w:pPr>
          </w:p>
        </w:tc>
        <w:tc>
          <w:tcPr>
            <w:tcW w:w="2271" w:type="dxa"/>
            <w:gridSpan w:val="2"/>
            <w:tcBorders>
              <w:top w:val="none" w:sz="0" w:space="0" w:color="000000"/>
              <w:left w:val="single" w:sz="4" w:space="0" w:color="000000"/>
              <w:bottom w:val="single" w:sz="4" w:space="0" w:color="000000"/>
              <w:right w:val="single" w:sz="4" w:space="0" w:color="000000"/>
            </w:tcBorders>
          </w:tcPr>
          <w:p w14:paraId="7B6282FC" w14:textId="77D21C17" w:rsidR="005F018D" w:rsidRPr="00A92233" w:rsidRDefault="005F018D" w:rsidP="004D7E82">
            <w:pPr>
              <w:widowControl/>
              <w:textAlignment w:val="baseline"/>
              <w:rPr>
                <w:rFonts w:eastAsia="Trebuchet MS" w:cs="Arial"/>
                <w:color w:val="000000"/>
                <w:sz w:val="20"/>
                <w:szCs w:val="20"/>
                <w:lang w:val="en-GB" w:bidi="ar-SA"/>
              </w:rPr>
            </w:pPr>
          </w:p>
        </w:tc>
        <w:tc>
          <w:tcPr>
            <w:tcW w:w="3336" w:type="dxa"/>
            <w:gridSpan w:val="2"/>
            <w:tcBorders>
              <w:top w:val="none" w:sz="0" w:space="0" w:color="000000"/>
              <w:left w:val="single" w:sz="4" w:space="0" w:color="000000"/>
              <w:bottom w:val="single" w:sz="4" w:space="0" w:color="000000"/>
              <w:right w:val="single" w:sz="4" w:space="0" w:color="000000"/>
            </w:tcBorders>
            <w:vAlign w:val="center"/>
          </w:tcPr>
          <w:p w14:paraId="0D47F31D" w14:textId="39656E17" w:rsidR="005F018D" w:rsidRPr="00A92233" w:rsidRDefault="005F018D" w:rsidP="004D7E82">
            <w:pPr>
              <w:widowControl/>
              <w:spacing w:after="48" w:line="233" w:lineRule="exact"/>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high quality</w:t>
            </w:r>
          </w:p>
        </w:tc>
      </w:tr>
    </w:tbl>
    <w:p w14:paraId="2B2B566A" w14:textId="3B22201D" w:rsidR="002129F9" w:rsidRPr="00A92233" w:rsidRDefault="006F0F36" w:rsidP="007D4C8D">
      <w:pPr>
        <w:pStyle w:val="FSCtblnotes"/>
        <w:rPr>
          <w:rFonts w:eastAsia="PMingLiU"/>
          <w:bCs w:val="0"/>
          <w:i/>
          <w:lang w:val="en-GB"/>
        </w:rPr>
      </w:pPr>
      <w:r w:rsidRPr="00A92233">
        <w:rPr>
          <w:rFonts w:eastAsia="PMingLiU"/>
          <w:lang w:val="en-GB"/>
        </w:rPr>
        <w:t>Source:</w:t>
      </w:r>
      <w:r w:rsidR="00AE2D8A" w:rsidRPr="00A92233">
        <w:rPr>
          <w:rFonts w:eastAsia="PMingLiU"/>
          <w:lang w:val="en-GB"/>
        </w:rPr>
        <w:t xml:space="preserve"> </w:t>
      </w:r>
      <w:r w:rsidR="001D6400" w:rsidRPr="00A92233">
        <w:rPr>
          <w:rFonts w:eastAsia="PMingLiU"/>
          <w:lang w:val="en-GB"/>
        </w:rPr>
        <w:t xml:space="preserve">DSM </w:t>
      </w:r>
      <w:r w:rsidR="00AE2D8A" w:rsidRPr="00A92233">
        <w:rPr>
          <w:rFonts w:eastAsia="PMingLiU"/>
          <w:bCs w:val="0"/>
          <w:i/>
          <w:lang w:val="en-GB"/>
        </w:rPr>
        <w:t xml:space="preserve">Dossier: Application for the Approval of DHA Algal Oil from </w:t>
      </w:r>
      <w:r w:rsidR="00AE2D8A" w:rsidRPr="00A92233">
        <w:rPr>
          <w:rFonts w:eastAsia="PMingLiU"/>
          <w:lang w:val="en-GB"/>
        </w:rPr>
        <w:t>Schizochytrium</w:t>
      </w:r>
      <w:r w:rsidR="00AE2D8A" w:rsidRPr="00A92233">
        <w:rPr>
          <w:rFonts w:eastAsia="PMingLiU"/>
          <w:bCs w:val="0"/>
          <w:i/>
          <w:lang w:val="en-GB"/>
        </w:rPr>
        <w:t xml:space="preserve"> sp. To Infant Formula Products (Including Pre-Term Infant Formula, Term Infant Formula and Follow </w:t>
      </w:r>
      <w:r w:rsidR="00AE2D8A" w:rsidRPr="00A92233">
        <w:rPr>
          <w:rFonts w:eastAsia="PMingLiU"/>
          <w:i/>
          <w:lang w:val="en-GB"/>
        </w:rPr>
        <w:t xml:space="preserve">On Formula. </w:t>
      </w:r>
      <w:r w:rsidR="00AE2D8A" w:rsidRPr="00A92233">
        <w:rPr>
          <w:rFonts w:eastAsia="PMingLiU"/>
          <w:bCs w:val="0"/>
          <w:i/>
          <w:lang w:val="en-GB"/>
        </w:rPr>
        <w:t>October 2015</w:t>
      </w:r>
    </w:p>
    <w:p w14:paraId="27B1A029" w14:textId="77777777" w:rsidR="005F018D" w:rsidRPr="00A92233" w:rsidRDefault="005F018D" w:rsidP="005F018D">
      <w:pPr>
        <w:rPr>
          <w:sz w:val="18"/>
          <w:lang w:val="en-GB"/>
        </w:rPr>
      </w:pPr>
    </w:p>
    <w:p w14:paraId="34C6E4F1" w14:textId="77777777" w:rsidR="005F018D" w:rsidRPr="00A92233" w:rsidRDefault="005F018D" w:rsidP="005F018D">
      <w:pPr>
        <w:rPr>
          <w:sz w:val="18"/>
          <w:lang w:val="en-GB"/>
        </w:rPr>
      </w:pPr>
      <w:r w:rsidRPr="00A92233">
        <w:rPr>
          <w:sz w:val="18"/>
          <w:lang w:val="en-GB"/>
        </w:rPr>
        <w:t xml:space="preserve">Abbreviations: </w:t>
      </w:r>
    </w:p>
    <w:p w14:paraId="54F08FF9" w14:textId="55B1EC14" w:rsidR="005F018D" w:rsidRPr="00A92233" w:rsidRDefault="005F018D" w:rsidP="005F018D">
      <w:pPr>
        <w:rPr>
          <w:sz w:val="18"/>
          <w:lang w:val="en-GB"/>
        </w:rPr>
      </w:pPr>
      <w:r w:rsidRPr="00A92233">
        <w:rPr>
          <w:sz w:val="18"/>
          <w:lang w:val="en-GB"/>
        </w:rPr>
        <w:t xml:space="preserve">DB RCT: double-blind, randomized controlled trial </w:t>
      </w:r>
    </w:p>
    <w:p w14:paraId="44926131" w14:textId="01D0ACF3" w:rsidR="005F018D" w:rsidRPr="00A92233" w:rsidRDefault="005F018D" w:rsidP="005F018D">
      <w:pPr>
        <w:rPr>
          <w:sz w:val="18"/>
          <w:lang w:val="en-GB"/>
        </w:rPr>
      </w:pPr>
      <w:r w:rsidRPr="00A92233">
        <w:rPr>
          <w:sz w:val="18"/>
          <w:lang w:val="en-GB"/>
        </w:rPr>
        <w:t>DHA: docosahexaenoic acid</w:t>
      </w:r>
    </w:p>
    <w:p w14:paraId="62DDFF50" w14:textId="2DFC275E" w:rsidR="005F018D" w:rsidRPr="00A92233" w:rsidRDefault="005F018D" w:rsidP="005F018D">
      <w:pPr>
        <w:rPr>
          <w:sz w:val="18"/>
          <w:lang w:val="en-GB"/>
        </w:rPr>
      </w:pPr>
      <w:r w:rsidRPr="00A92233">
        <w:rPr>
          <w:sz w:val="18"/>
          <w:lang w:val="en-GB"/>
        </w:rPr>
        <w:t xml:space="preserve">ARA: arachidonic acid </w:t>
      </w:r>
    </w:p>
    <w:p w14:paraId="03B17AAF" w14:textId="063EDEE2" w:rsidR="005F018D" w:rsidRPr="00A92233" w:rsidRDefault="005F018D" w:rsidP="005F018D">
      <w:pPr>
        <w:rPr>
          <w:sz w:val="18"/>
          <w:lang w:val="en-GB"/>
        </w:rPr>
      </w:pPr>
      <w:r w:rsidRPr="00A92233">
        <w:rPr>
          <w:sz w:val="18"/>
          <w:lang w:val="en-GB"/>
        </w:rPr>
        <w:t>Mo: months</w:t>
      </w:r>
    </w:p>
    <w:p w14:paraId="74E188E8" w14:textId="50970581" w:rsidR="005F018D" w:rsidRPr="00A92233" w:rsidRDefault="005F018D" w:rsidP="005F018D">
      <w:pPr>
        <w:rPr>
          <w:sz w:val="18"/>
          <w:lang w:val="en-GB"/>
        </w:rPr>
      </w:pPr>
      <w:r w:rsidRPr="00A92233">
        <w:rPr>
          <w:sz w:val="18"/>
          <w:lang w:val="en-GB"/>
        </w:rPr>
        <w:t>%FA: percent of fatty acids</w:t>
      </w:r>
    </w:p>
    <w:p w14:paraId="1DEBA778" w14:textId="26EA127C" w:rsidR="005F018D" w:rsidRPr="00A92233" w:rsidRDefault="005F018D" w:rsidP="005F018D">
      <w:pPr>
        <w:rPr>
          <w:sz w:val="18"/>
          <w:lang w:val="en-GB"/>
        </w:rPr>
      </w:pPr>
      <w:r w:rsidRPr="00A92233">
        <w:rPr>
          <w:sz w:val="18"/>
          <w:lang w:val="en-GB"/>
        </w:rPr>
        <w:t xml:space="preserve">BF: breast-fed </w:t>
      </w:r>
    </w:p>
    <w:p w14:paraId="3268609D" w14:textId="7D2A9511" w:rsidR="005F018D" w:rsidRPr="00A92233" w:rsidRDefault="005F018D" w:rsidP="005F018D">
      <w:pPr>
        <w:rPr>
          <w:sz w:val="18"/>
          <w:lang w:val="en-GB"/>
        </w:rPr>
      </w:pPr>
      <w:r w:rsidRPr="00A92233">
        <w:rPr>
          <w:sz w:val="18"/>
          <w:lang w:val="en-GB"/>
        </w:rPr>
        <w:t>C: control</w:t>
      </w:r>
    </w:p>
    <w:p w14:paraId="4C664549" w14:textId="694F37BB" w:rsidR="005F018D" w:rsidRPr="00A92233" w:rsidRDefault="005F018D" w:rsidP="005F018D">
      <w:pPr>
        <w:rPr>
          <w:rFonts w:eastAsia="PMingLiU"/>
          <w:sz w:val="18"/>
          <w:lang w:val="en-GB"/>
        </w:rPr>
      </w:pPr>
      <w:r w:rsidRPr="00A92233">
        <w:rPr>
          <w:sz w:val="18"/>
          <w:lang w:val="en-GB"/>
        </w:rPr>
        <w:t>*Preterm infant study</w:t>
      </w:r>
    </w:p>
    <w:p w14:paraId="2D4963B2" w14:textId="654308CE" w:rsidR="00297A02" w:rsidRPr="00A92233" w:rsidRDefault="00297A02">
      <w:pPr>
        <w:widowControl/>
        <w:rPr>
          <w:rFonts w:eastAsia="PMingLiU"/>
          <w:sz w:val="18"/>
          <w:lang w:val="en-GB"/>
        </w:rPr>
      </w:pPr>
      <w:r w:rsidRPr="00A92233">
        <w:rPr>
          <w:rFonts w:eastAsia="PMingLiU"/>
          <w:sz w:val="18"/>
          <w:lang w:val="en-GB"/>
        </w:rPr>
        <w:br w:type="page"/>
      </w:r>
    </w:p>
    <w:p w14:paraId="54940D52" w14:textId="5BCCCE13" w:rsidR="002129F9" w:rsidRPr="00A92233" w:rsidRDefault="002129F9" w:rsidP="00297A02">
      <w:pPr>
        <w:rPr>
          <w:rFonts w:eastAsia="PMingLiU"/>
          <w:b/>
          <w:lang w:val="en-GB"/>
        </w:rPr>
      </w:pPr>
      <w:r w:rsidRPr="00A92233">
        <w:rPr>
          <w:rFonts w:eastAsia="Trebuchet MS"/>
          <w:b/>
          <w:lang w:val="en-GB"/>
        </w:rPr>
        <w:lastRenderedPageBreak/>
        <w:t xml:space="preserve">Table </w:t>
      </w:r>
      <w:r w:rsidR="00CE7FB6" w:rsidRPr="00A92233">
        <w:rPr>
          <w:rFonts w:eastAsia="Trebuchet MS"/>
          <w:b/>
          <w:lang w:val="en-GB"/>
        </w:rPr>
        <w:t>A.2:</w:t>
      </w:r>
      <w:r w:rsidRPr="00A92233">
        <w:rPr>
          <w:rFonts w:eastAsia="Trebuchet MS"/>
          <w:b/>
          <w:lang w:val="en-GB"/>
        </w:rPr>
        <w:t xml:space="preserve"> Randomised Controlled Trials with DHA+ARA Intervention Reporting Blood Fatty Acid Status</w:t>
      </w:r>
    </w:p>
    <w:p w14:paraId="50E5AC05" w14:textId="725499D8" w:rsidR="004D7E82" w:rsidRPr="00A92233" w:rsidRDefault="004D7E82" w:rsidP="007D4C8D">
      <w:pPr>
        <w:pStyle w:val="FSCtblnotes"/>
        <w:rPr>
          <w:rFonts w:eastAsia="PMingLiU"/>
          <w:lang w:val="en-GB"/>
        </w:rPr>
      </w:pPr>
    </w:p>
    <w:tbl>
      <w:tblPr>
        <w:tblW w:w="0" w:type="auto"/>
        <w:tblInd w:w="2" w:type="dxa"/>
        <w:tblLayout w:type="fixed"/>
        <w:tblCellMar>
          <w:left w:w="0" w:type="dxa"/>
          <w:right w:w="0" w:type="dxa"/>
        </w:tblCellMar>
        <w:tblLook w:val="0000" w:firstRow="0" w:lastRow="0" w:firstColumn="0" w:lastColumn="0" w:noHBand="0" w:noVBand="0"/>
      </w:tblPr>
      <w:tblGrid>
        <w:gridCol w:w="1563"/>
        <w:gridCol w:w="1275"/>
        <w:gridCol w:w="1134"/>
        <w:gridCol w:w="1610"/>
        <w:gridCol w:w="1792"/>
        <w:gridCol w:w="3248"/>
        <w:gridCol w:w="3131"/>
      </w:tblGrid>
      <w:tr w:rsidR="004D7E82" w:rsidRPr="00DE5269" w14:paraId="18E6AD41" w14:textId="16A5ECCB" w:rsidTr="000255E9">
        <w:trPr>
          <w:cantSplit/>
          <w:tblHeader/>
        </w:trPr>
        <w:tc>
          <w:tcPr>
            <w:tcW w:w="15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DC29A69" w14:textId="7EA2CCB9" w:rsidR="004D7E82" w:rsidRPr="00A92233" w:rsidRDefault="004D7E82" w:rsidP="004D7E82">
            <w:pPr>
              <w:widowControl/>
              <w:spacing w:before="39" w:after="512" w:line="233" w:lineRule="exact"/>
              <w:ind w:left="108"/>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Study/Study Design</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DAA7CF8" w14:textId="4694DF60" w:rsidR="004D7E82" w:rsidRPr="00A92233" w:rsidRDefault="004D7E82" w:rsidP="001D6400">
            <w:pPr>
              <w:widowControl/>
              <w:spacing w:before="43" w:after="508" w:line="233" w:lineRule="exact"/>
              <w:ind w:left="108" w:right="396"/>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ARA (%FA)</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089133B" w14:textId="584A3D9D" w:rsidR="004D7E82" w:rsidRPr="00A92233" w:rsidRDefault="004D7E82" w:rsidP="001D6400">
            <w:pPr>
              <w:widowControl/>
              <w:spacing w:before="43" w:after="508" w:line="233" w:lineRule="exact"/>
              <w:ind w:left="108" w:right="396"/>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DHA (%FA)</w:t>
            </w:r>
          </w:p>
        </w:tc>
        <w:tc>
          <w:tcPr>
            <w:tcW w:w="16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5B38FCE" w14:textId="332AA4C6" w:rsidR="004D7E82" w:rsidRPr="00A92233" w:rsidRDefault="004D7E82" w:rsidP="001D6400">
            <w:pPr>
              <w:widowControl/>
              <w:spacing w:before="38" w:after="47" w:line="233" w:lineRule="exact"/>
              <w:ind w:left="108"/>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Number of Subjects at longest duration (BF/C/DHA)</w:t>
            </w:r>
          </w:p>
        </w:tc>
        <w:tc>
          <w:tcPr>
            <w:tcW w:w="17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4A0B5B8" w14:textId="0600199F" w:rsidR="004D7E82" w:rsidRPr="00A92233" w:rsidRDefault="004D7E82" w:rsidP="001D6400">
            <w:pPr>
              <w:widowControl/>
              <w:ind w:left="74"/>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Duration of</w:t>
            </w:r>
          </w:p>
          <w:p w14:paraId="1B00CCDD" w14:textId="1AFCE26A" w:rsidR="005F018D" w:rsidRPr="00A92233" w:rsidRDefault="004D7E82" w:rsidP="001D6400">
            <w:pPr>
              <w:widowControl/>
              <w:tabs>
                <w:tab w:val="left" w:pos="2218"/>
              </w:tabs>
              <w:ind w:left="74"/>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Supplementation</w:t>
            </w:r>
          </w:p>
          <w:p w14:paraId="74680C30" w14:textId="08BFFD80" w:rsidR="004D7E82" w:rsidRPr="00A92233" w:rsidRDefault="004D7E82" w:rsidP="001D6400">
            <w:pPr>
              <w:widowControl/>
              <w:tabs>
                <w:tab w:val="left" w:pos="2218"/>
              </w:tabs>
              <w:ind w:left="74" w:right="283"/>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(months)</w:t>
            </w:r>
          </w:p>
        </w:tc>
        <w:tc>
          <w:tcPr>
            <w:tcW w:w="32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6A87E0E" w14:textId="555D65C4" w:rsidR="004D7E82" w:rsidRPr="00A92233" w:rsidRDefault="004D7E82" w:rsidP="001D6400">
            <w:pPr>
              <w:widowControl/>
              <w:spacing w:before="37" w:after="747" w:line="233" w:lineRule="exact"/>
              <w:ind w:left="115"/>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Outcome Summary</w:t>
            </w:r>
          </w:p>
        </w:tc>
        <w:tc>
          <w:tcPr>
            <w:tcW w:w="31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8F8B93A" w14:textId="7B16040A" w:rsidR="004D7E82" w:rsidRPr="00A92233" w:rsidRDefault="004D7E82" w:rsidP="001D6400">
            <w:pPr>
              <w:widowControl/>
              <w:spacing w:before="39" w:after="512" w:line="233" w:lineRule="exact"/>
              <w:ind w:left="108" w:right="1152"/>
              <w:jc w:val="center"/>
              <w:textAlignment w:val="baseline"/>
              <w:rPr>
                <w:rFonts w:eastAsia="Trebuchet MS" w:cs="Arial"/>
                <w:b/>
                <w:color w:val="000000"/>
                <w:sz w:val="20"/>
                <w:szCs w:val="20"/>
                <w:lang w:val="en-GB" w:bidi="ar-SA"/>
              </w:rPr>
            </w:pPr>
            <w:r w:rsidRPr="00A92233">
              <w:rPr>
                <w:rFonts w:eastAsia="Trebuchet MS" w:cs="Arial"/>
                <w:b/>
                <w:color w:val="000000"/>
                <w:sz w:val="20"/>
                <w:szCs w:val="20"/>
                <w:lang w:val="en-GB" w:bidi="ar-SA"/>
              </w:rPr>
              <w:t>Study Quality and Limitations</w:t>
            </w:r>
          </w:p>
        </w:tc>
      </w:tr>
      <w:tr w:rsidR="004D7E82" w:rsidRPr="00DE5269" w14:paraId="29DF267E" w14:textId="5A0B6068" w:rsidTr="001D6400">
        <w:trPr>
          <w:cantSplit/>
        </w:trPr>
        <w:tc>
          <w:tcPr>
            <w:tcW w:w="1563" w:type="dxa"/>
            <w:tcBorders>
              <w:top w:val="single" w:sz="4" w:space="0" w:color="000000"/>
              <w:left w:val="single" w:sz="4" w:space="0" w:color="000000"/>
              <w:bottom w:val="single" w:sz="4" w:space="0" w:color="000000"/>
              <w:right w:val="single" w:sz="4" w:space="0" w:color="000000"/>
            </w:tcBorders>
          </w:tcPr>
          <w:p w14:paraId="64915F84" w14:textId="085FA302" w:rsidR="004D7E82" w:rsidRPr="00A92233" w:rsidRDefault="004D7E82" w:rsidP="005F018D">
            <w:pPr>
              <w:widowControl/>
              <w:ind w:left="7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Auestad </w:t>
            </w:r>
            <w:r w:rsidRPr="00A92233">
              <w:rPr>
                <w:rFonts w:eastAsia="Trebuchet MS" w:cs="Arial"/>
                <w:i/>
                <w:color w:val="000000"/>
                <w:sz w:val="20"/>
                <w:szCs w:val="20"/>
                <w:lang w:val="en-GB" w:bidi="ar-SA"/>
              </w:rPr>
              <w:t xml:space="preserve">et al. </w:t>
            </w:r>
            <w:r w:rsidRPr="00A92233">
              <w:rPr>
                <w:rFonts w:eastAsia="Trebuchet MS" w:cs="Arial"/>
                <w:color w:val="000000"/>
                <w:sz w:val="20"/>
                <w:szCs w:val="20"/>
                <w:lang w:val="en-GB" w:bidi="ar-SA"/>
              </w:rPr>
              <w:t>(2001)</w:t>
            </w:r>
          </w:p>
          <w:p w14:paraId="3D33D42D" w14:textId="77777777" w:rsidR="00CE7FB6" w:rsidRPr="00A92233" w:rsidRDefault="00CE7FB6" w:rsidP="005F018D">
            <w:pPr>
              <w:widowControl/>
              <w:ind w:left="74"/>
              <w:textAlignment w:val="baseline"/>
              <w:rPr>
                <w:rFonts w:eastAsia="Trebuchet MS" w:cs="Arial"/>
                <w:color w:val="000000"/>
                <w:sz w:val="20"/>
                <w:szCs w:val="20"/>
                <w:lang w:val="en-GB" w:bidi="ar-SA"/>
              </w:rPr>
            </w:pPr>
          </w:p>
          <w:p w14:paraId="380A410A" w14:textId="57562C5B" w:rsidR="004D7E82" w:rsidRPr="00A92233" w:rsidRDefault="005F018D" w:rsidP="005F018D">
            <w:pPr>
              <w:widowControl/>
              <w:ind w:left="74"/>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 xml:space="preserve">DB </w:t>
            </w:r>
            <w:r w:rsidRPr="00A92233">
              <w:rPr>
                <w:rFonts w:eastAsia="Trebuchet MS"/>
                <w:sz w:val="20"/>
                <w:szCs w:val="20"/>
                <w:lang w:val="en-GB"/>
              </w:rPr>
              <w:t>RCT</w:t>
            </w:r>
          </w:p>
        </w:tc>
        <w:tc>
          <w:tcPr>
            <w:tcW w:w="1275" w:type="dxa"/>
            <w:tcBorders>
              <w:top w:val="single" w:sz="4" w:space="0" w:color="000000"/>
              <w:left w:val="single" w:sz="4" w:space="0" w:color="000000"/>
              <w:bottom w:val="single" w:sz="4" w:space="0" w:color="000000"/>
              <w:right w:val="single" w:sz="4" w:space="0" w:color="000000"/>
            </w:tcBorders>
          </w:tcPr>
          <w:p w14:paraId="7C6E00A9" w14:textId="051B6C9C" w:rsidR="004D7E82" w:rsidRPr="00A92233" w:rsidRDefault="004D7E82" w:rsidP="005F018D">
            <w:pPr>
              <w:widowControl/>
              <w:ind w:left="115"/>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0.45</w:t>
            </w:r>
          </w:p>
        </w:tc>
        <w:tc>
          <w:tcPr>
            <w:tcW w:w="1134" w:type="dxa"/>
            <w:tcBorders>
              <w:top w:val="single" w:sz="4" w:space="0" w:color="000000"/>
              <w:left w:val="single" w:sz="4" w:space="0" w:color="000000"/>
              <w:bottom w:val="single" w:sz="4" w:space="0" w:color="000000"/>
              <w:right w:val="single" w:sz="4" w:space="0" w:color="000000"/>
            </w:tcBorders>
          </w:tcPr>
          <w:p w14:paraId="231C400B" w14:textId="08225938" w:rsidR="004D7E82" w:rsidRPr="00A92233" w:rsidRDefault="004D7E82" w:rsidP="005F018D">
            <w:pPr>
              <w:widowControl/>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0.14</w:t>
            </w:r>
          </w:p>
        </w:tc>
        <w:tc>
          <w:tcPr>
            <w:tcW w:w="1610" w:type="dxa"/>
            <w:tcBorders>
              <w:top w:val="single" w:sz="4" w:space="0" w:color="000000"/>
              <w:left w:val="single" w:sz="4" w:space="0" w:color="000000"/>
              <w:bottom w:val="single" w:sz="4" w:space="0" w:color="000000"/>
              <w:right w:val="single" w:sz="4" w:space="0" w:color="000000"/>
            </w:tcBorders>
          </w:tcPr>
          <w:p w14:paraId="0DD1A803" w14:textId="28C563D4"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82/77/162</w:t>
            </w:r>
          </w:p>
        </w:tc>
        <w:tc>
          <w:tcPr>
            <w:tcW w:w="1792" w:type="dxa"/>
            <w:tcBorders>
              <w:top w:val="single" w:sz="4" w:space="0" w:color="000000"/>
              <w:left w:val="single" w:sz="4" w:space="0" w:color="000000"/>
              <w:bottom w:val="single" w:sz="4" w:space="0" w:color="000000"/>
              <w:right w:val="single" w:sz="4" w:space="0" w:color="000000"/>
            </w:tcBorders>
          </w:tcPr>
          <w:p w14:paraId="3F272F8A" w14:textId="3793957B" w:rsidR="004D7E82" w:rsidRPr="00A92233" w:rsidRDefault="004D7E82" w:rsidP="005F018D">
            <w:pPr>
              <w:widowControl/>
              <w:ind w:left="120"/>
              <w:textAlignment w:val="baseline"/>
              <w:rPr>
                <w:rFonts w:eastAsia="Trebuchet MS" w:cs="Arial"/>
                <w:color w:val="000000"/>
                <w:spacing w:val="-8"/>
                <w:sz w:val="20"/>
                <w:szCs w:val="20"/>
                <w:lang w:val="en-GB" w:bidi="ar-SA"/>
              </w:rPr>
            </w:pPr>
            <w:r w:rsidRPr="00A92233">
              <w:rPr>
                <w:rFonts w:eastAsia="Trebuchet MS" w:cs="Arial"/>
                <w:color w:val="000000"/>
                <w:spacing w:val="-8"/>
                <w:sz w:val="20"/>
                <w:szCs w:val="20"/>
                <w:lang w:val="en-GB" w:bidi="ar-SA"/>
              </w:rPr>
              <w:t>12</w:t>
            </w:r>
          </w:p>
        </w:tc>
        <w:tc>
          <w:tcPr>
            <w:tcW w:w="3248" w:type="dxa"/>
            <w:tcBorders>
              <w:top w:val="single" w:sz="4" w:space="0" w:color="000000"/>
              <w:left w:val="single" w:sz="4" w:space="0" w:color="000000"/>
              <w:bottom w:val="single" w:sz="4" w:space="0" w:color="000000"/>
              <w:right w:val="single" w:sz="4" w:space="0" w:color="000000"/>
            </w:tcBorders>
          </w:tcPr>
          <w:p w14:paraId="05BB8A4E" w14:textId="5C5CD35E" w:rsidR="004D7E82" w:rsidRPr="00A92233" w:rsidRDefault="004D7E82" w:rsidP="005F018D">
            <w:pPr>
              <w:widowControl/>
              <w:ind w:left="72" w:right="18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DHA+ARA formula maintained DHA and ARA blood levels similar to BF and higher than C (P&lt;.01).</w:t>
            </w:r>
          </w:p>
        </w:tc>
        <w:tc>
          <w:tcPr>
            <w:tcW w:w="3131" w:type="dxa"/>
            <w:tcBorders>
              <w:top w:val="single" w:sz="4" w:space="0" w:color="000000"/>
              <w:left w:val="single" w:sz="4" w:space="0" w:color="000000"/>
              <w:bottom w:val="single" w:sz="4" w:space="0" w:color="000000"/>
              <w:right w:val="single" w:sz="4" w:space="0" w:color="000000"/>
            </w:tcBorders>
          </w:tcPr>
          <w:p w14:paraId="06B57F12" w14:textId="4A4900CD" w:rsidR="004D7E82" w:rsidRPr="00A92233" w:rsidRDefault="004D7E82" w:rsidP="005F018D">
            <w:pPr>
              <w:widowControl/>
              <w:ind w:left="72"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 baseline; selection and allocation procedures described; disposition of subjects provided; appropriate outcomes, outcomes reliably measured; adequate statistical power, large study population.</w:t>
            </w:r>
          </w:p>
          <w:p w14:paraId="7BD899DF" w14:textId="13D8B72F" w:rsidR="004D7E82" w:rsidRPr="00A92233" w:rsidRDefault="004D7E82" w:rsidP="005F018D">
            <w:pPr>
              <w:widowControl/>
              <w:ind w:left="72" w:right="39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high drop-out rate (27%)</w:t>
            </w:r>
          </w:p>
          <w:p w14:paraId="05BF381F" w14:textId="77777777" w:rsidR="005F018D" w:rsidRPr="00A92233" w:rsidRDefault="005F018D" w:rsidP="005F018D">
            <w:pPr>
              <w:widowControl/>
              <w:ind w:left="72" w:right="396"/>
              <w:textAlignment w:val="baseline"/>
              <w:rPr>
                <w:rFonts w:eastAsia="Trebuchet MS" w:cs="Arial"/>
                <w:color w:val="000000"/>
                <w:sz w:val="20"/>
                <w:szCs w:val="20"/>
                <w:lang w:val="en-GB" w:bidi="ar-SA"/>
              </w:rPr>
            </w:pPr>
          </w:p>
          <w:p w14:paraId="3F93F307" w14:textId="7A6399AC" w:rsidR="004D7E82" w:rsidRPr="00A92233" w:rsidRDefault="004D7E82" w:rsidP="005F018D">
            <w:pPr>
              <w:widowControl/>
              <w:ind w:left="72" w:right="68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moderate-high quality</w:t>
            </w:r>
          </w:p>
        </w:tc>
      </w:tr>
      <w:tr w:rsidR="004D7E82" w:rsidRPr="00DE5269" w14:paraId="1773DB74" w14:textId="3EA2168D" w:rsidTr="001D6400">
        <w:trPr>
          <w:cantSplit/>
        </w:trPr>
        <w:tc>
          <w:tcPr>
            <w:tcW w:w="1563" w:type="dxa"/>
            <w:tcBorders>
              <w:top w:val="single" w:sz="4" w:space="0" w:color="000000"/>
              <w:left w:val="single" w:sz="4" w:space="0" w:color="000000"/>
              <w:bottom w:val="single" w:sz="4" w:space="0" w:color="000000"/>
              <w:right w:val="single" w:sz="4" w:space="0" w:color="000000"/>
            </w:tcBorders>
          </w:tcPr>
          <w:p w14:paraId="70D4662B" w14:textId="766C1697" w:rsidR="004D7E82" w:rsidRPr="00A92233" w:rsidRDefault="004D7E82" w:rsidP="005F018D">
            <w:pPr>
              <w:widowControl/>
              <w:ind w:left="72"/>
              <w:textAlignment w:val="baseline"/>
              <w:rPr>
                <w:rFonts w:eastAsia="Trebuchet MS" w:cs="Arial"/>
                <w:color w:val="000000"/>
                <w:spacing w:val="-3"/>
                <w:sz w:val="20"/>
                <w:szCs w:val="20"/>
                <w:lang w:val="en-GB" w:bidi="ar-SA"/>
              </w:rPr>
            </w:pPr>
            <w:r w:rsidRPr="00A92233">
              <w:rPr>
                <w:rFonts w:eastAsia="Trebuchet MS" w:cs="Arial"/>
                <w:color w:val="000000"/>
                <w:spacing w:val="-3"/>
                <w:sz w:val="20"/>
                <w:szCs w:val="20"/>
                <w:lang w:val="en-GB" w:bidi="ar-SA"/>
              </w:rPr>
              <w:t xml:space="preserve">Ben </w:t>
            </w:r>
            <w:r w:rsidRPr="00A92233">
              <w:rPr>
                <w:rFonts w:eastAsia="Trebuchet MS" w:cs="Arial"/>
                <w:i/>
                <w:color w:val="000000"/>
                <w:spacing w:val="-3"/>
                <w:sz w:val="20"/>
                <w:szCs w:val="20"/>
                <w:lang w:val="en-GB" w:bidi="ar-SA"/>
              </w:rPr>
              <w:t>et al.</w:t>
            </w:r>
          </w:p>
          <w:p w14:paraId="12DE3689" w14:textId="77777777" w:rsidR="004D7E82" w:rsidRPr="00A92233" w:rsidRDefault="004D7E82"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(2004)</w:t>
            </w:r>
          </w:p>
          <w:p w14:paraId="71DEEDA0" w14:textId="77777777" w:rsidR="002E1E56" w:rsidRPr="00A92233" w:rsidRDefault="002E1E56" w:rsidP="005F018D">
            <w:pPr>
              <w:widowControl/>
              <w:ind w:left="72"/>
              <w:textAlignment w:val="baseline"/>
              <w:rPr>
                <w:rFonts w:eastAsia="Trebuchet MS" w:cs="Arial"/>
                <w:color w:val="000000"/>
                <w:spacing w:val="-2"/>
                <w:sz w:val="20"/>
                <w:szCs w:val="20"/>
                <w:lang w:val="en-GB" w:bidi="ar-SA"/>
              </w:rPr>
            </w:pPr>
          </w:p>
          <w:p w14:paraId="1F607AE1" w14:textId="0B470F4A" w:rsidR="002E1E56" w:rsidRPr="00A92233" w:rsidRDefault="002E1E56"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RCT</w:t>
            </w:r>
          </w:p>
        </w:tc>
        <w:tc>
          <w:tcPr>
            <w:tcW w:w="1275" w:type="dxa"/>
            <w:tcBorders>
              <w:top w:val="single" w:sz="4" w:space="0" w:color="000000"/>
              <w:left w:val="single" w:sz="4" w:space="0" w:color="000000"/>
              <w:bottom w:val="single" w:sz="4" w:space="0" w:color="000000"/>
              <w:right w:val="single" w:sz="4" w:space="0" w:color="000000"/>
            </w:tcBorders>
          </w:tcPr>
          <w:p w14:paraId="5356DBEF" w14:textId="72F90912" w:rsidR="004D7E82" w:rsidRPr="00A92233" w:rsidRDefault="004D7E82" w:rsidP="005F018D">
            <w:pPr>
              <w:widowControl/>
              <w:ind w:left="115"/>
              <w:textAlignment w:val="baseline"/>
              <w:rPr>
                <w:rFonts w:eastAsia="Trebuchet MS" w:cs="Arial"/>
                <w:color w:val="000000"/>
                <w:spacing w:val="-3"/>
                <w:sz w:val="20"/>
                <w:szCs w:val="20"/>
                <w:lang w:val="en-GB" w:bidi="ar-SA"/>
              </w:rPr>
            </w:pPr>
            <w:r w:rsidRPr="00A92233">
              <w:rPr>
                <w:rFonts w:eastAsia="Trebuchet MS" w:cs="Arial"/>
                <w:color w:val="000000"/>
                <w:spacing w:val="-3"/>
                <w:sz w:val="20"/>
                <w:szCs w:val="20"/>
                <w:lang w:val="en-GB" w:bidi="ar-SA"/>
              </w:rPr>
              <w:t>NR</w:t>
            </w:r>
          </w:p>
        </w:tc>
        <w:tc>
          <w:tcPr>
            <w:tcW w:w="1134" w:type="dxa"/>
            <w:tcBorders>
              <w:top w:val="single" w:sz="4" w:space="0" w:color="000000"/>
              <w:left w:val="single" w:sz="4" w:space="0" w:color="000000"/>
              <w:bottom w:val="single" w:sz="4" w:space="0" w:color="000000"/>
              <w:right w:val="single" w:sz="4" w:space="0" w:color="000000"/>
            </w:tcBorders>
          </w:tcPr>
          <w:p w14:paraId="464043A1" w14:textId="56DDF51E" w:rsidR="004D7E82" w:rsidRPr="00A92233" w:rsidRDefault="004D7E82" w:rsidP="005F018D">
            <w:pPr>
              <w:widowControl/>
              <w:ind w:left="115"/>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NR</w:t>
            </w:r>
          </w:p>
        </w:tc>
        <w:tc>
          <w:tcPr>
            <w:tcW w:w="1610" w:type="dxa"/>
            <w:tcBorders>
              <w:top w:val="single" w:sz="4" w:space="0" w:color="000000"/>
              <w:left w:val="single" w:sz="4" w:space="0" w:color="000000"/>
              <w:bottom w:val="single" w:sz="4" w:space="0" w:color="000000"/>
              <w:right w:val="single" w:sz="4" w:space="0" w:color="000000"/>
            </w:tcBorders>
          </w:tcPr>
          <w:p w14:paraId="2A6F4F3B" w14:textId="1C116A39"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26/52/69</w:t>
            </w:r>
          </w:p>
        </w:tc>
        <w:tc>
          <w:tcPr>
            <w:tcW w:w="1792" w:type="dxa"/>
            <w:tcBorders>
              <w:top w:val="single" w:sz="4" w:space="0" w:color="000000"/>
              <w:left w:val="single" w:sz="4" w:space="0" w:color="000000"/>
              <w:bottom w:val="single" w:sz="4" w:space="0" w:color="000000"/>
              <w:right w:val="single" w:sz="4" w:space="0" w:color="000000"/>
            </w:tcBorders>
          </w:tcPr>
          <w:p w14:paraId="0B3F58D0" w14:textId="6324DCE1"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6</w:t>
            </w:r>
          </w:p>
        </w:tc>
        <w:tc>
          <w:tcPr>
            <w:tcW w:w="3248" w:type="dxa"/>
            <w:tcBorders>
              <w:top w:val="single" w:sz="4" w:space="0" w:color="000000"/>
              <w:left w:val="single" w:sz="4" w:space="0" w:color="000000"/>
              <w:bottom w:val="single" w:sz="4" w:space="0" w:color="000000"/>
              <w:right w:val="single" w:sz="4" w:space="0" w:color="000000"/>
            </w:tcBorders>
          </w:tcPr>
          <w:p w14:paraId="2AF5DB8D" w14:textId="28044BE3" w:rsidR="00C04F3F" w:rsidRPr="00A92233" w:rsidRDefault="00C04F3F" w:rsidP="00C04F3F">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DHA+ARA formula group had plasma DHA &amp; </w:t>
            </w:r>
            <w:r w:rsidR="004D7E82" w:rsidRPr="00A92233">
              <w:rPr>
                <w:rFonts w:eastAsia="Trebuchet MS" w:cs="Arial"/>
                <w:color w:val="000000"/>
                <w:sz w:val="20"/>
                <w:szCs w:val="20"/>
                <w:lang w:val="en-GB" w:bidi="ar-SA"/>
              </w:rPr>
              <w:t xml:space="preserve">ARA levels </w:t>
            </w:r>
            <w:r w:rsidRPr="00A92233">
              <w:rPr>
                <w:rFonts w:eastAsia="Trebuchet MS" w:cs="Arial"/>
                <w:color w:val="000000"/>
                <w:sz w:val="20"/>
                <w:szCs w:val="20"/>
                <w:lang w:val="en-GB" w:bidi="ar-SA"/>
              </w:rPr>
              <w:t>that were:</w:t>
            </w:r>
          </w:p>
          <w:p w14:paraId="3DC6AC90" w14:textId="311937AD" w:rsidR="004D7E82" w:rsidRPr="00A92233" w:rsidRDefault="00C04F3F" w:rsidP="00C04F3F">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 higher than control at </w:t>
            </w:r>
            <w:r w:rsidR="004D7E82" w:rsidRPr="00A92233">
              <w:rPr>
                <w:rFonts w:eastAsia="Trebuchet MS" w:cs="Arial"/>
                <w:color w:val="000000"/>
                <w:sz w:val="20"/>
                <w:szCs w:val="20"/>
                <w:lang w:val="en-GB" w:bidi="ar-SA"/>
              </w:rPr>
              <w:t>3 and 6 mo.</w:t>
            </w:r>
            <w:r w:rsidRPr="00A92233">
              <w:rPr>
                <w:rFonts w:eastAsia="Trebuchet MS" w:cs="Arial"/>
                <w:color w:val="000000"/>
                <w:sz w:val="20"/>
                <w:szCs w:val="20"/>
                <w:lang w:val="en-GB" w:bidi="ar-SA"/>
              </w:rPr>
              <w:t xml:space="preserve"> – similar to BF at 3 mo and higher than BF at 6 mo</w:t>
            </w:r>
          </w:p>
        </w:tc>
        <w:tc>
          <w:tcPr>
            <w:tcW w:w="3131" w:type="dxa"/>
            <w:tcBorders>
              <w:top w:val="single" w:sz="4" w:space="0" w:color="000000"/>
              <w:left w:val="single" w:sz="4" w:space="0" w:color="000000"/>
              <w:bottom w:val="single" w:sz="4" w:space="0" w:color="000000"/>
              <w:right w:val="single" w:sz="4" w:space="0" w:color="000000"/>
            </w:tcBorders>
          </w:tcPr>
          <w:p w14:paraId="09D6F1F3" w14:textId="4AAA5465" w:rsidR="004D7E82" w:rsidRPr="00A92233" w:rsidRDefault="004D7E82" w:rsidP="005F018D">
            <w:pPr>
              <w:widowControl/>
              <w:ind w:left="72"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 baseline; appropriate outcomes, outcomes reliably measured.</w:t>
            </w:r>
          </w:p>
          <w:p w14:paraId="160C9E65" w14:textId="0D37FBD5"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Limitations – Limited description of selection and allocation procedures described; </w:t>
            </w:r>
            <w:r w:rsidR="00C04F3F" w:rsidRPr="00A92233">
              <w:rPr>
                <w:rFonts w:eastAsia="Trebuchet MS" w:cs="Arial"/>
                <w:color w:val="000000"/>
                <w:sz w:val="20"/>
                <w:szCs w:val="20"/>
                <w:lang w:val="en-GB" w:bidi="ar-SA"/>
              </w:rPr>
              <w:t xml:space="preserve">blood measures not main outcome of study; </w:t>
            </w:r>
            <w:r w:rsidRPr="00A92233">
              <w:rPr>
                <w:rFonts w:eastAsia="Trebuchet MS" w:cs="Arial"/>
                <w:color w:val="000000"/>
                <w:sz w:val="20"/>
                <w:szCs w:val="20"/>
                <w:lang w:val="en-GB" w:bidi="ar-SA"/>
              </w:rPr>
              <w:t>disposition of subjects not provided; no power calculation provided.</w:t>
            </w:r>
          </w:p>
          <w:p w14:paraId="6452223A" w14:textId="77777777" w:rsidR="005F018D" w:rsidRPr="00A92233" w:rsidRDefault="005F018D" w:rsidP="005F018D">
            <w:pPr>
              <w:widowControl/>
              <w:ind w:left="72"/>
              <w:textAlignment w:val="baseline"/>
              <w:rPr>
                <w:rFonts w:eastAsia="Trebuchet MS" w:cs="Arial"/>
                <w:color w:val="000000"/>
                <w:sz w:val="20"/>
                <w:szCs w:val="20"/>
                <w:lang w:val="en-GB" w:bidi="ar-SA"/>
              </w:rPr>
            </w:pPr>
          </w:p>
          <w:p w14:paraId="7D25351F" w14:textId="3E3627CF"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limited quality</w:t>
            </w:r>
          </w:p>
        </w:tc>
      </w:tr>
      <w:tr w:rsidR="004D7E82" w:rsidRPr="00DE5269" w14:paraId="068AE1DE" w14:textId="15B92D14" w:rsidTr="001D6400">
        <w:trPr>
          <w:cantSplit/>
        </w:trPr>
        <w:tc>
          <w:tcPr>
            <w:tcW w:w="1563" w:type="dxa"/>
            <w:tcBorders>
              <w:top w:val="single" w:sz="4" w:space="0" w:color="000000"/>
              <w:left w:val="single" w:sz="4" w:space="0" w:color="000000"/>
              <w:bottom w:val="single" w:sz="4" w:space="0" w:color="000000"/>
              <w:right w:val="single" w:sz="4" w:space="0" w:color="000000"/>
            </w:tcBorders>
          </w:tcPr>
          <w:p w14:paraId="52B6A7EA" w14:textId="34F47203"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lastRenderedPageBreak/>
              <w:t xml:space="preserve">Hoffman </w:t>
            </w:r>
            <w:r w:rsidRPr="00A92233">
              <w:rPr>
                <w:rFonts w:eastAsia="Trebuchet MS" w:cs="Arial"/>
                <w:i/>
                <w:color w:val="000000"/>
                <w:sz w:val="20"/>
                <w:szCs w:val="20"/>
                <w:lang w:val="en-GB" w:bidi="ar-SA"/>
              </w:rPr>
              <w:t xml:space="preserve">et al. </w:t>
            </w:r>
            <w:r w:rsidRPr="00A92233">
              <w:rPr>
                <w:rFonts w:eastAsia="Trebuchet MS" w:cs="Arial"/>
                <w:color w:val="000000"/>
                <w:sz w:val="20"/>
                <w:szCs w:val="20"/>
                <w:lang w:val="en-GB" w:bidi="ar-SA"/>
              </w:rPr>
              <w:t>(2000)</w:t>
            </w:r>
          </w:p>
          <w:p w14:paraId="1FF09659" w14:textId="77777777" w:rsidR="005F018D" w:rsidRPr="00A92233" w:rsidRDefault="005F018D" w:rsidP="005F018D">
            <w:pPr>
              <w:widowControl/>
              <w:ind w:left="72"/>
              <w:textAlignment w:val="baseline"/>
              <w:rPr>
                <w:rFonts w:eastAsia="Trebuchet MS" w:cs="Arial"/>
                <w:color w:val="000000"/>
                <w:sz w:val="20"/>
                <w:szCs w:val="20"/>
                <w:lang w:val="en-GB" w:bidi="ar-SA"/>
              </w:rPr>
            </w:pPr>
          </w:p>
          <w:p w14:paraId="44548D61" w14:textId="7DD5057B" w:rsidR="004D7E82" w:rsidRPr="00A92233" w:rsidRDefault="004D7E82"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DB RCT</w:t>
            </w:r>
          </w:p>
        </w:tc>
        <w:tc>
          <w:tcPr>
            <w:tcW w:w="1275" w:type="dxa"/>
            <w:tcBorders>
              <w:top w:val="single" w:sz="4" w:space="0" w:color="000000"/>
              <w:left w:val="single" w:sz="4" w:space="0" w:color="000000"/>
              <w:bottom w:val="single" w:sz="4" w:space="0" w:color="000000"/>
              <w:right w:val="single" w:sz="4" w:space="0" w:color="000000"/>
            </w:tcBorders>
          </w:tcPr>
          <w:p w14:paraId="7AC0A61D" w14:textId="70403DA3" w:rsidR="004D7E82" w:rsidRPr="00A92233" w:rsidRDefault="004D7E82" w:rsidP="005F018D">
            <w:pPr>
              <w:widowControl/>
              <w:ind w:left="115"/>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0.72</w:t>
            </w:r>
          </w:p>
        </w:tc>
        <w:tc>
          <w:tcPr>
            <w:tcW w:w="1134" w:type="dxa"/>
            <w:tcBorders>
              <w:top w:val="single" w:sz="4" w:space="0" w:color="000000"/>
              <w:left w:val="single" w:sz="4" w:space="0" w:color="000000"/>
              <w:bottom w:val="single" w:sz="4" w:space="0" w:color="000000"/>
              <w:right w:val="single" w:sz="4" w:space="0" w:color="000000"/>
            </w:tcBorders>
          </w:tcPr>
          <w:p w14:paraId="4BB1AB9B" w14:textId="6B897D17" w:rsidR="004D7E82" w:rsidRPr="00A92233" w:rsidRDefault="004D7E82" w:rsidP="005F018D">
            <w:pPr>
              <w:widowControl/>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0.36</w:t>
            </w:r>
          </w:p>
        </w:tc>
        <w:tc>
          <w:tcPr>
            <w:tcW w:w="1610" w:type="dxa"/>
            <w:tcBorders>
              <w:top w:val="single" w:sz="4" w:space="0" w:color="000000"/>
              <w:left w:val="single" w:sz="4" w:space="0" w:color="000000"/>
              <w:bottom w:val="single" w:sz="4" w:space="0" w:color="000000"/>
              <w:right w:val="single" w:sz="4" w:space="0" w:color="000000"/>
            </w:tcBorders>
          </w:tcPr>
          <w:p w14:paraId="7A1149EC" w14:textId="1490C455"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20/20/18</w:t>
            </w:r>
          </w:p>
        </w:tc>
        <w:tc>
          <w:tcPr>
            <w:tcW w:w="1792" w:type="dxa"/>
            <w:tcBorders>
              <w:top w:val="single" w:sz="4" w:space="0" w:color="000000"/>
              <w:left w:val="single" w:sz="4" w:space="0" w:color="000000"/>
              <w:bottom w:val="single" w:sz="4" w:space="0" w:color="000000"/>
              <w:right w:val="single" w:sz="4" w:space="0" w:color="000000"/>
            </w:tcBorders>
          </w:tcPr>
          <w:p w14:paraId="044DE32A" w14:textId="10C8B6CA" w:rsidR="004D7E82" w:rsidRPr="00A92233" w:rsidRDefault="004D7E82" w:rsidP="005F018D">
            <w:pPr>
              <w:widowControl/>
              <w:ind w:left="1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4</w:t>
            </w:r>
          </w:p>
        </w:tc>
        <w:tc>
          <w:tcPr>
            <w:tcW w:w="3248" w:type="dxa"/>
            <w:tcBorders>
              <w:top w:val="single" w:sz="4" w:space="0" w:color="000000"/>
              <w:left w:val="single" w:sz="4" w:space="0" w:color="000000"/>
              <w:bottom w:val="single" w:sz="4" w:space="0" w:color="000000"/>
              <w:right w:val="single" w:sz="4" w:space="0" w:color="000000"/>
            </w:tcBorders>
          </w:tcPr>
          <w:p w14:paraId="3B108279" w14:textId="7F1928EA"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ARA levels supported.</w:t>
            </w:r>
          </w:p>
          <w:p w14:paraId="036A28FD" w14:textId="0343886E" w:rsidR="004D7E82" w:rsidRPr="00A92233" w:rsidRDefault="004D7E82" w:rsidP="005F018D">
            <w:pPr>
              <w:widowControl/>
              <w:ind w:left="72" w:right="144"/>
              <w:textAlignment w:val="baseline"/>
              <w:rPr>
                <w:rFonts w:eastAsia="Trebuchet MS" w:cs="Arial"/>
                <w:color w:val="000000"/>
                <w:spacing w:val="3"/>
                <w:sz w:val="20"/>
                <w:szCs w:val="20"/>
                <w:lang w:val="en-GB" w:bidi="ar-SA"/>
              </w:rPr>
            </w:pPr>
            <w:r w:rsidRPr="00A92233">
              <w:rPr>
                <w:rFonts w:eastAsia="Trebuchet MS" w:cs="Arial"/>
                <w:color w:val="000000"/>
                <w:spacing w:val="3"/>
                <w:sz w:val="20"/>
                <w:szCs w:val="20"/>
                <w:lang w:val="en-GB" w:bidi="ar-SA"/>
              </w:rPr>
              <w:t>DHA+ARA maintained ARA levels comparable to BF infants and significantly higher than C (P&lt;.05).</w:t>
            </w:r>
          </w:p>
        </w:tc>
        <w:tc>
          <w:tcPr>
            <w:tcW w:w="3131" w:type="dxa"/>
            <w:tcBorders>
              <w:top w:val="single" w:sz="4" w:space="0" w:color="000000"/>
              <w:left w:val="single" w:sz="4" w:space="0" w:color="000000"/>
              <w:bottom w:val="single" w:sz="4" w:space="0" w:color="000000"/>
              <w:right w:val="single" w:sz="4" w:space="0" w:color="000000"/>
            </w:tcBorders>
          </w:tcPr>
          <w:p w14:paraId="1AB31AE6" w14:textId="50D59B55"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Appropriate</w:t>
            </w:r>
          </w:p>
          <w:p w14:paraId="641BAABE" w14:textId="1133BD22"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outcomes, outcomes reliably measured.</w:t>
            </w:r>
          </w:p>
          <w:p w14:paraId="147215EA" w14:textId="466A8C25"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Limited description of selection and allocation procedures described; disposition of subjects not provided; no power calculation provided.</w:t>
            </w:r>
          </w:p>
          <w:p w14:paraId="24E027FB" w14:textId="77777777" w:rsidR="005F018D" w:rsidRPr="00A92233" w:rsidRDefault="005F018D" w:rsidP="005F018D">
            <w:pPr>
              <w:widowControl/>
              <w:ind w:left="72"/>
              <w:textAlignment w:val="baseline"/>
              <w:rPr>
                <w:rFonts w:eastAsia="Trebuchet MS" w:cs="Arial"/>
                <w:color w:val="000000"/>
                <w:sz w:val="20"/>
                <w:szCs w:val="20"/>
                <w:lang w:val="en-GB" w:bidi="ar-SA"/>
              </w:rPr>
            </w:pPr>
          </w:p>
          <w:p w14:paraId="77BF7225" w14:textId="4BBFBCC2"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limited quality</w:t>
            </w:r>
          </w:p>
        </w:tc>
      </w:tr>
      <w:tr w:rsidR="004D7E82" w:rsidRPr="00DE5269" w14:paraId="6C43B266" w14:textId="1864E000" w:rsidTr="001D6400">
        <w:trPr>
          <w:cantSplit/>
        </w:trPr>
        <w:tc>
          <w:tcPr>
            <w:tcW w:w="1563" w:type="dxa"/>
            <w:tcBorders>
              <w:top w:val="single" w:sz="4" w:space="0" w:color="000000"/>
              <w:left w:val="single" w:sz="4" w:space="0" w:color="000000"/>
              <w:bottom w:val="single" w:sz="4" w:space="0" w:color="000000"/>
              <w:right w:val="single" w:sz="4" w:space="0" w:color="000000"/>
            </w:tcBorders>
          </w:tcPr>
          <w:p w14:paraId="1907AED5" w14:textId="7B1B3AA6"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Makrides </w:t>
            </w:r>
            <w:r w:rsidRPr="00A92233">
              <w:rPr>
                <w:rFonts w:eastAsia="Trebuchet MS" w:cs="Arial"/>
                <w:i/>
                <w:color w:val="000000"/>
                <w:sz w:val="20"/>
                <w:szCs w:val="20"/>
                <w:lang w:val="en-GB" w:bidi="ar-SA"/>
              </w:rPr>
              <w:t xml:space="preserve">et al. </w:t>
            </w:r>
            <w:r w:rsidRPr="00A92233">
              <w:rPr>
                <w:rFonts w:eastAsia="Trebuchet MS" w:cs="Arial"/>
                <w:color w:val="000000"/>
                <w:sz w:val="20"/>
                <w:szCs w:val="20"/>
                <w:lang w:val="en-GB" w:bidi="ar-SA"/>
              </w:rPr>
              <w:t>(1999)</w:t>
            </w:r>
          </w:p>
          <w:p w14:paraId="7916CF4A" w14:textId="77777777" w:rsidR="005F018D" w:rsidRPr="00A92233" w:rsidRDefault="005F018D" w:rsidP="005F018D">
            <w:pPr>
              <w:widowControl/>
              <w:ind w:left="72"/>
              <w:textAlignment w:val="baseline"/>
              <w:rPr>
                <w:rFonts w:eastAsia="Trebuchet MS" w:cs="Arial"/>
                <w:color w:val="000000"/>
                <w:sz w:val="20"/>
                <w:szCs w:val="20"/>
                <w:lang w:val="en-GB" w:bidi="ar-SA"/>
              </w:rPr>
            </w:pPr>
          </w:p>
          <w:p w14:paraId="56CAE929" w14:textId="4A988E59" w:rsidR="004D7E82" w:rsidRPr="00A92233" w:rsidRDefault="004D7E82"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DB RCT</w:t>
            </w:r>
          </w:p>
        </w:tc>
        <w:tc>
          <w:tcPr>
            <w:tcW w:w="1275" w:type="dxa"/>
            <w:tcBorders>
              <w:top w:val="single" w:sz="4" w:space="0" w:color="000000"/>
              <w:left w:val="single" w:sz="4" w:space="0" w:color="000000"/>
              <w:bottom w:val="single" w:sz="4" w:space="0" w:color="000000"/>
              <w:right w:val="single" w:sz="4" w:space="0" w:color="000000"/>
            </w:tcBorders>
          </w:tcPr>
          <w:p w14:paraId="415FA42F" w14:textId="5999C9EB" w:rsidR="004D7E82" w:rsidRPr="00A92233" w:rsidRDefault="004D7E82" w:rsidP="005F018D">
            <w:pPr>
              <w:widowControl/>
              <w:ind w:left="115"/>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0.34</w:t>
            </w:r>
          </w:p>
        </w:tc>
        <w:tc>
          <w:tcPr>
            <w:tcW w:w="1134" w:type="dxa"/>
            <w:tcBorders>
              <w:top w:val="single" w:sz="4" w:space="0" w:color="000000"/>
              <w:left w:val="single" w:sz="4" w:space="0" w:color="000000"/>
              <w:bottom w:val="single" w:sz="4" w:space="0" w:color="000000"/>
              <w:right w:val="single" w:sz="4" w:space="0" w:color="000000"/>
            </w:tcBorders>
          </w:tcPr>
          <w:p w14:paraId="0D2A7432" w14:textId="7BE41130" w:rsidR="004D7E82" w:rsidRPr="00A92233" w:rsidRDefault="004D7E82" w:rsidP="005F018D">
            <w:pPr>
              <w:widowControl/>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0.34</w:t>
            </w:r>
          </w:p>
        </w:tc>
        <w:tc>
          <w:tcPr>
            <w:tcW w:w="1610" w:type="dxa"/>
            <w:tcBorders>
              <w:top w:val="single" w:sz="4" w:space="0" w:color="000000"/>
              <w:left w:val="single" w:sz="4" w:space="0" w:color="000000"/>
              <w:bottom w:val="single" w:sz="4" w:space="0" w:color="000000"/>
              <w:right w:val="single" w:sz="4" w:space="0" w:color="000000"/>
            </w:tcBorders>
          </w:tcPr>
          <w:p w14:paraId="30B862D4" w14:textId="442C24AC" w:rsidR="004D7E82" w:rsidRPr="00A92233" w:rsidRDefault="004D7E82" w:rsidP="005F018D">
            <w:pPr>
              <w:widowControl/>
              <w:ind w:left="120"/>
              <w:textAlignment w:val="baseline"/>
              <w:rPr>
                <w:rFonts w:eastAsia="Trebuchet MS" w:cs="Arial"/>
                <w:color w:val="000000"/>
                <w:spacing w:val="-3"/>
                <w:sz w:val="20"/>
                <w:szCs w:val="20"/>
                <w:lang w:val="en-GB" w:bidi="ar-SA"/>
              </w:rPr>
            </w:pPr>
            <w:r w:rsidRPr="00A92233">
              <w:rPr>
                <w:rFonts w:eastAsia="Trebuchet MS" w:cs="Arial"/>
                <w:color w:val="000000"/>
                <w:spacing w:val="-3"/>
                <w:sz w:val="20"/>
                <w:szCs w:val="20"/>
                <w:lang w:val="en-GB" w:bidi="ar-SA"/>
              </w:rPr>
              <w:t>33/21/21</w:t>
            </w:r>
          </w:p>
        </w:tc>
        <w:tc>
          <w:tcPr>
            <w:tcW w:w="1792" w:type="dxa"/>
            <w:tcBorders>
              <w:top w:val="single" w:sz="4" w:space="0" w:color="000000"/>
              <w:left w:val="single" w:sz="4" w:space="0" w:color="000000"/>
              <w:bottom w:val="single" w:sz="4" w:space="0" w:color="000000"/>
              <w:right w:val="single" w:sz="4" w:space="0" w:color="000000"/>
            </w:tcBorders>
          </w:tcPr>
          <w:p w14:paraId="2CB42F7D" w14:textId="6C87BD03" w:rsidR="004D7E82" w:rsidRPr="00A92233" w:rsidRDefault="004D7E82" w:rsidP="005F018D">
            <w:pPr>
              <w:widowControl/>
              <w:ind w:left="116"/>
              <w:textAlignment w:val="baseline"/>
              <w:rPr>
                <w:rFonts w:eastAsia="Trebuchet MS" w:cs="Arial"/>
                <w:color w:val="000000"/>
                <w:spacing w:val="-8"/>
                <w:sz w:val="20"/>
                <w:szCs w:val="20"/>
                <w:lang w:val="en-GB" w:bidi="ar-SA"/>
              </w:rPr>
            </w:pPr>
            <w:r w:rsidRPr="00A92233">
              <w:rPr>
                <w:rFonts w:eastAsia="Trebuchet MS" w:cs="Arial"/>
                <w:color w:val="000000"/>
                <w:spacing w:val="-8"/>
                <w:sz w:val="20"/>
                <w:szCs w:val="20"/>
                <w:lang w:val="en-GB" w:bidi="ar-SA"/>
              </w:rPr>
              <w:t>12</w:t>
            </w:r>
          </w:p>
        </w:tc>
        <w:tc>
          <w:tcPr>
            <w:tcW w:w="3248" w:type="dxa"/>
            <w:tcBorders>
              <w:top w:val="single" w:sz="4" w:space="0" w:color="000000"/>
              <w:left w:val="single" w:sz="4" w:space="0" w:color="000000"/>
              <w:bottom w:val="single" w:sz="4" w:space="0" w:color="000000"/>
              <w:right w:val="single" w:sz="4" w:space="0" w:color="000000"/>
            </w:tcBorders>
          </w:tcPr>
          <w:p w14:paraId="178EAB66" w14:textId="2E6B16D3"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ARA levels supported.</w:t>
            </w:r>
          </w:p>
          <w:p w14:paraId="57522B7D" w14:textId="5D576482" w:rsidR="004D7E82" w:rsidRPr="00A92233" w:rsidRDefault="004D7E82" w:rsidP="005F018D">
            <w:pPr>
              <w:widowControl/>
              <w:ind w:left="72" w:right="18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At 34 and 52 wk DHA+ARA same as BF and significantly higher ARA than C or DHA-alone (P&lt;.01).</w:t>
            </w:r>
          </w:p>
        </w:tc>
        <w:tc>
          <w:tcPr>
            <w:tcW w:w="3131" w:type="dxa"/>
            <w:tcBorders>
              <w:top w:val="single" w:sz="4" w:space="0" w:color="000000"/>
              <w:left w:val="single" w:sz="4" w:space="0" w:color="000000"/>
              <w:bottom w:val="single" w:sz="4" w:space="0" w:color="000000"/>
              <w:right w:val="single" w:sz="4" w:space="0" w:color="000000"/>
            </w:tcBorders>
          </w:tcPr>
          <w:p w14:paraId="065B4689" w14:textId="2DFA560C" w:rsidR="004D7E82" w:rsidRPr="00A92233" w:rsidRDefault="004D7E82" w:rsidP="005F018D">
            <w:pPr>
              <w:widowControl/>
              <w:ind w:left="72" w:right="252"/>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Quality - selection and allocation procedures described; disposition of subjects provided; appropriate outcomes, outcomes reliably measured.</w:t>
            </w:r>
          </w:p>
          <w:p w14:paraId="76ADAD5D" w14:textId="1E0EBBB2" w:rsidR="004D7E82" w:rsidRPr="00A92233" w:rsidRDefault="004D7E82" w:rsidP="005F018D">
            <w:pPr>
              <w:widowControl/>
              <w:ind w:left="72" w:right="25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Groups differed somewhat at baseline; Drop</w:t>
            </w:r>
            <w:r w:rsidRPr="00A92233">
              <w:rPr>
                <w:rFonts w:eastAsia="Trebuchet MS" w:cs="Arial"/>
                <w:color w:val="000000"/>
                <w:sz w:val="20"/>
                <w:szCs w:val="20"/>
                <w:lang w:val="en-GB" w:bidi="ar-SA"/>
              </w:rPr>
              <w:softHyphen/>
              <w:t>out rate 18%; statistical power limited, i.e. n=25 per group required, n=21 completed.</w:t>
            </w:r>
          </w:p>
          <w:p w14:paraId="608D0BE8" w14:textId="77777777" w:rsidR="005F018D" w:rsidRPr="00A92233" w:rsidRDefault="005F018D" w:rsidP="005F018D">
            <w:pPr>
              <w:widowControl/>
              <w:ind w:left="72" w:right="252"/>
              <w:textAlignment w:val="baseline"/>
              <w:rPr>
                <w:rFonts w:eastAsia="Trebuchet MS" w:cs="Arial"/>
                <w:color w:val="000000"/>
                <w:sz w:val="20"/>
                <w:szCs w:val="20"/>
                <w:lang w:val="en-GB" w:bidi="ar-SA"/>
              </w:rPr>
            </w:pPr>
          </w:p>
          <w:p w14:paraId="7FE0C071" w14:textId="2D61B4E1"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limited quality</w:t>
            </w:r>
          </w:p>
        </w:tc>
      </w:tr>
      <w:tr w:rsidR="004D7E82" w:rsidRPr="00DE5269" w14:paraId="0B0F70EA" w14:textId="297D6E34" w:rsidTr="001D6400">
        <w:trPr>
          <w:cantSplit/>
        </w:trPr>
        <w:tc>
          <w:tcPr>
            <w:tcW w:w="1563" w:type="dxa"/>
            <w:tcBorders>
              <w:top w:val="single" w:sz="4" w:space="0" w:color="000000"/>
              <w:left w:val="single" w:sz="4" w:space="0" w:color="000000"/>
              <w:bottom w:val="single" w:sz="4" w:space="0" w:color="000000"/>
              <w:right w:val="single" w:sz="4" w:space="0" w:color="000000"/>
            </w:tcBorders>
          </w:tcPr>
          <w:p w14:paraId="0802E583" w14:textId="77777777" w:rsidR="001D6400"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lastRenderedPageBreak/>
              <w:t xml:space="preserve">O’Connor </w:t>
            </w:r>
            <w:r w:rsidRPr="00A92233">
              <w:rPr>
                <w:rFonts w:eastAsia="Trebuchet MS" w:cs="Arial"/>
                <w:i/>
                <w:color w:val="000000"/>
                <w:sz w:val="20"/>
                <w:szCs w:val="20"/>
                <w:lang w:val="en-GB" w:bidi="ar-SA"/>
              </w:rPr>
              <w:t xml:space="preserve">et al. </w:t>
            </w:r>
            <w:r w:rsidRPr="00A92233">
              <w:rPr>
                <w:rFonts w:eastAsia="Trebuchet MS" w:cs="Arial"/>
                <w:color w:val="000000"/>
                <w:sz w:val="20"/>
                <w:szCs w:val="20"/>
                <w:lang w:val="en-GB" w:bidi="ar-SA"/>
              </w:rPr>
              <w:t>(2001)</w:t>
            </w:r>
          </w:p>
          <w:p w14:paraId="3D6F96B4" w14:textId="77777777" w:rsidR="001D6400" w:rsidRPr="00A92233" w:rsidRDefault="001D6400" w:rsidP="005F018D">
            <w:pPr>
              <w:widowControl/>
              <w:ind w:left="72"/>
              <w:textAlignment w:val="baseline"/>
              <w:rPr>
                <w:rFonts w:eastAsia="Trebuchet MS" w:cs="Arial"/>
                <w:color w:val="000000"/>
                <w:sz w:val="20"/>
                <w:szCs w:val="20"/>
                <w:lang w:val="en-GB" w:bidi="ar-SA"/>
              </w:rPr>
            </w:pPr>
          </w:p>
          <w:p w14:paraId="6D6B6343" w14:textId="111FEE21" w:rsidR="004D7E82" w:rsidRPr="00A92233" w:rsidRDefault="004D7E82"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DB RCT</w:t>
            </w:r>
          </w:p>
        </w:tc>
        <w:tc>
          <w:tcPr>
            <w:tcW w:w="1275" w:type="dxa"/>
            <w:tcBorders>
              <w:top w:val="single" w:sz="4" w:space="0" w:color="000000"/>
              <w:left w:val="single" w:sz="4" w:space="0" w:color="000000"/>
              <w:bottom w:val="single" w:sz="4" w:space="0" w:color="000000"/>
              <w:right w:val="single" w:sz="4" w:space="0" w:color="000000"/>
            </w:tcBorders>
          </w:tcPr>
          <w:p w14:paraId="4BCBE239" w14:textId="10FF23DC" w:rsidR="004D7E82" w:rsidRPr="00A92233" w:rsidRDefault="004D7E82" w:rsidP="005F018D">
            <w:pPr>
              <w:widowControl/>
              <w:ind w:left="115"/>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0.42</w:t>
            </w:r>
          </w:p>
        </w:tc>
        <w:tc>
          <w:tcPr>
            <w:tcW w:w="1134" w:type="dxa"/>
            <w:tcBorders>
              <w:top w:val="single" w:sz="4" w:space="0" w:color="000000"/>
              <w:left w:val="single" w:sz="4" w:space="0" w:color="000000"/>
              <w:bottom w:val="single" w:sz="4" w:space="0" w:color="000000"/>
              <w:right w:val="single" w:sz="4" w:space="0" w:color="000000"/>
            </w:tcBorders>
          </w:tcPr>
          <w:p w14:paraId="67B2794D" w14:textId="270F676B" w:rsidR="004D7E82" w:rsidRPr="00A92233" w:rsidRDefault="004D7E82" w:rsidP="005F018D">
            <w:pPr>
              <w:widowControl/>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0.26</w:t>
            </w:r>
          </w:p>
        </w:tc>
        <w:tc>
          <w:tcPr>
            <w:tcW w:w="1610" w:type="dxa"/>
            <w:tcBorders>
              <w:top w:val="single" w:sz="4" w:space="0" w:color="000000"/>
              <w:left w:val="single" w:sz="4" w:space="0" w:color="000000"/>
              <w:bottom w:val="single" w:sz="4" w:space="0" w:color="000000"/>
              <w:right w:val="single" w:sz="4" w:space="0" w:color="000000"/>
            </w:tcBorders>
          </w:tcPr>
          <w:p w14:paraId="44E45B96" w14:textId="14FF4C11" w:rsidR="004D7E82" w:rsidRPr="00A92233" w:rsidRDefault="004D7E82" w:rsidP="005F018D">
            <w:pPr>
              <w:widowControl/>
              <w:ind w:left="115"/>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40/120/253</w:t>
            </w:r>
          </w:p>
        </w:tc>
        <w:tc>
          <w:tcPr>
            <w:tcW w:w="1792" w:type="dxa"/>
            <w:tcBorders>
              <w:top w:val="single" w:sz="4" w:space="0" w:color="000000"/>
              <w:left w:val="single" w:sz="4" w:space="0" w:color="000000"/>
              <w:bottom w:val="single" w:sz="4" w:space="0" w:color="000000"/>
              <w:right w:val="single" w:sz="4" w:space="0" w:color="000000"/>
            </w:tcBorders>
          </w:tcPr>
          <w:p w14:paraId="079A5074" w14:textId="2115D3A3" w:rsidR="004D7E82" w:rsidRPr="00A92233" w:rsidRDefault="004D7E82" w:rsidP="005F018D">
            <w:pPr>
              <w:widowControl/>
              <w:ind w:left="120"/>
              <w:textAlignment w:val="baseline"/>
              <w:rPr>
                <w:rFonts w:eastAsia="Trebuchet MS" w:cs="Arial"/>
                <w:color w:val="000000"/>
                <w:spacing w:val="-8"/>
                <w:sz w:val="20"/>
                <w:szCs w:val="20"/>
                <w:lang w:val="en-GB" w:bidi="ar-SA"/>
              </w:rPr>
            </w:pPr>
            <w:r w:rsidRPr="00A92233">
              <w:rPr>
                <w:rFonts w:eastAsia="Trebuchet MS" w:cs="Arial"/>
                <w:color w:val="000000"/>
                <w:spacing w:val="-8"/>
                <w:sz w:val="20"/>
                <w:szCs w:val="20"/>
                <w:lang w:val="en-GB" w:bidi="ar-SA"/>
              </w:rPr>
              <w:t>12</w:t>
            </w:r>
          </w:p>
        </w:tc>
        <w:tc>
          <w:tcPr>
            <w:tcW w:w="3248" w:type="dxa"/>
            <w:tcBorders>
              <w:top w:val="single" w:sz="4" w:space="0" w:color="000000"/>
              <w:left w:val="single" w:sz="4" w:space="0" w:color="000000"/>
              <w:bottom w:val="single" w:sz="4" w:space="0" w:color="000000"/>
              <w:right w:val="single" w:sz="4" w:space="0" w:color="000000"/>
            </w:tcBorders>
          </w:tcPr>
          <w:p w14:paraId="460D2624" w14:textId="5D64D52D"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ARA levels supported.</w:t>
            </w:r>
          </w:p>
          <w:p w14:paraId="017D0F2B" w14:textId="00530BB3" w:rsidR="004D7E82" w:rsidRPr="00A92233" w:rsidRDefault="004D7E82" w:rsidP="005F018D">
            <w:pPr>
              <w:widowControl/>
              <w:ind w:left="72" w:right="32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ARA levels were similar to BF and higher or the same as C.</w:t>
            </w:r>
          </w:p>
        </w:tc>
        <w:tc>
          <w:tcPr>
            <w:tcW w:w="3131" w:type="dxa"/>
            <w:tcBorders>
              <w:top w:val="single" w:sz="4" w:space="0" w:color="000000"/>
              <w:left w:val="single" w:sz="4" w:space="0" w:color="000000"/>
              <w:bottom w:val="single" w:sz="4" w:space="0" w:color="000000"/>
              <w:right w:val="single" w:sz="4" w:space="0" w:color="000000"/>
            </w:tcBorders>
          </w:tcPr>
          <w:p w14:paraId="35BBA12A" w14:textId="19B2CE8F" w:rsidR="004D7E82" w:rsidRPr="00A92233" w:rsidRDefault="004D7E82" w:rsidP="005F018D">
            <w:pPr>
              <w:widowControl/>
              <w:ind w:left="72"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 baseline; selection and allocation procedures described; disposition of subjects provided; appropriate outcomes, outcomes reliably measured; adequate statistical power, large study population.</w:t>
            </w:r>
          </w:p>
          <w:p w14:paraId="7A22991A" w14:textId="3B2E5201" w:rsidR="004D7E82" w:rsidRPr="00A92233" w:rsidRDefault="004D7E82" w:rsidP="005F018D">
            <w:pPr>
              <w:widowControl/>
              <w:ind w:left="72" w:right="39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Limitations – high drop-out rate (20%)</w:t>
            </w:r>
          </w:p>
          <w:p w14:paraId="27747EB9" w14:textId="77777777" w:rsidR="005F018D" w:rsidRPr="00A92233" w:rsidRDefault="005F018D" w:rsidP="005F018D">
            <w:pPr>
              <w:widowControl/>
              <w:ind w:left="72" w:right="396"/>
              <w:textAlignment w:val="baseline"/>
              <w:rPr>
                <w:rFonts w:eastAsia="Trebuchet MS" w:cs="Arial"/>
                <w:color w:val="000000"/>
                <w:sz w:val="20"/>
                <w:szCs w:val="20"/>
                <w:lang w:val="en-GB" w:bidi="ar-SA"/>
              </w:rPr>
            </w:pPr>
          </w:p>
          <w:p w14:paraId="1C5885BD" w14:textId="6BAB6638" w:rsidR="004D7E82" w:rsidRPr="00A92233" w:rsidRDefault="004D7E82" w:rsidP="005F018D">
            <w:pPr>
              <w:widowControl/>
              <w:ind w:left="72" w:right="68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moderate-high quality</w:t>
            </w:r>
          </w:p>
        </w:tc>
      </w:tr>
      <w:tr w:rsidR="004D7E82" w:rsidRPr="00DE5269" w14:paraId="4A8A8680" w14:textId="1CCA56F3" w:rsidTr="001D6400">
        <w:trPr>
          <w:cantSplit/>
        </w:trPr>
        <w:tc>
          <w:tcPr>
            <w:tcW w:w="1563" w:type="dxa"/>
            <w:tcBorders>
              <w:top w:val="single" w:sz="4" w:space="0" w:color="000000"/>
              <w:left w:val="single" w:sz="4" w:space="0" w:color="000000"/>
              <w:bottom w:val="single" w:sz="4" w:space="0" w:color="000000"/>
              <w:right w:val="single" w:sz="4" w:space="0" w:color="000000"/>
            </w:tcBorders>
          </w:tcPr>
          <w:p w14:paraId="6A6B7EE5" w14:textId="4F7E1677" w:rsidR="004D7E82" w:rsidRPr="00A92233" w:rsidRDefault="004D7E82" w:rsidP="005F018D">
            <w:pPr>
              <w:widowControl/>
              <w:ind w:left="72" w:right="32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Vanderhoof </w:t>
            </w:r>
            <w:r w:rsidRPr="00A92233">
              <w:rPr>
                <w:rFonts w:eastAsia="Trebuchet MS" w:cs="Arial"/>
                <w:i/>
                <w:color w:val="000000"/>
                <w:sz w:val="20"/>
                <w:szCs w:val="20"/>
                <w:lang w:val="en-GB" w:bidi="ar-SA"/>
              </w:rPr>
              <w:t>et al</w:t>
            </w:r>
            <w:r w:rsidRPr="00A92233">
              <w:rPr>
                <w:rFonts w:eastAsia="Trebuchet MS" w:cs="Arial"/>
                <w:color w:val="000000"/>
                <w:sz w:val="20"/>
                <w:szCs w:val="20"/>
                <w:lang w:val="en-GB" w:bidi="ar-SA"/>
              </w:rPr>
              <w:t>. (1999)"</w:t>
            </w:r>
          </w:p>
          <w:p w14:paraId="7B5FD37F" w14:textId="77777777" w:rsidR="001D6400" w:rsidRPr="00A92233" w:rsidRDefault="001D6400" w:rsidP="005F018D">
            <w:pPr>
              <w:widowControl/>
              <w:ind w:left="72"/>
              <w:textAlignment w:val="baseline"/>
              <w:rPr>
                <w:rFonts w:eastAsia="Trebuchet MS" w:cs="Arial"/>
                <w:color w:val="000000"/>
                <w:spacing w:val="-2"/>
                <w:sz w:val="20"/>
                <w:szCs w:val="20"/>
                <w:lang w:val="en-GB" w:bidi="ar-SA"/>
              </w:rPr>
            </w:pPr>
          </w:p>
          <w:p w14:paraId="38F018BE" w14:textId="264197F7" w:rsidR="004D7E82" w:rsidRPr="00A92233" w:rsidRDefault="004D7E82" w:rsidP="005F018D">
            <w:pPr>
              <w:widowControl/>
              <w:ind w:left="72"/>
              <w:textAlignment w:val="baseline"/>
              <w:rPr>
                <w:rFonts w:eastAsia="Trebuchet MS" w:cs="Arial"/>
                <w:color w:val="000000"/>
                <w:spacing w:val="-2"/>
                <w:sz w:val="20"/>
                <w:szCs w:val="20"/>
                <w:lang w:val="en-GB" w:bidi="ar-SA"/>
              </w:rPr>
            </w:pPr>
            <w:r w:rsidRPr="00A92233">
              <w:rPr>
                <w:rFonts w:eastAsia="Trebuchet MS" w:cs="Arial"/>
                <w:color w:val="000000"/>
                <w:spacing w:val="-2"/>
                <w:sz w:val="20"/>
                <w:szCs w:val="20"/>
                <w:lang w:val="en-GB" w:bidi="ar-SA"/>
              </w:rPr>
              <w:t>DB RCT</w:t>
            </w:r>
          </w:p>
        </w:tc>
        <w:tc>
          <w:tcPr>
            <w:tcW w:w="1275" w:type="dxa"/>
            <w:tcBorders>
              <w:top w:val="single" w:sz="4" w:space="0" w:color="000000"/>
              <w:left w:val="single" w:sz="4" w:space="0" w:color="000000"/>
              <w:bottom w:val="single" w:sz="4" w:space="0" w:color="000000"/>
              <w:right w:val="single" w:sz="4" w:space="0" w:color="000000"/>
            </w:tcBorders>
          </w:tcPr>
          <w:p w14:paraId="6DF20D08" w14:textId="6D3B7F68" w:rsidR="004D7E82" w:rsidRPr="00A92233" w:rsidRDefault="004D7E82" w:rsidP="005F018D">
            <w:pPr>
              <w:widowControl/>
              <w:ind w:left="115"/>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0.50</w:t>
            </w:r>
          </w:p>
        </w:tc>
        <w:tc>
          <w:tcPr>
            <w:tcW w:w="1134" w:type="dxa"/>
            <w:tcBorders>
              <w:top w:val="single" w:sz="4" w:space="0" w:color="000000"/>
              <w:left w:val="single" w:sz="4" w:space="0" w:color="000000"/>
              <w:bottom w:val="single" w:sz="4" w:space="0" w:color="000000"/>
              <w:right w:val="single" w:sz="4" w:space="0" w:color="000000"/>
            </w:tcBorders>
          </w:tcPr>
          <w:p w14:paraId="79EAEE34" w14:textId="1E93B1DE" w:rsidR="004D7E82" w:rsidRPr="00A92233" w:rsidRDefault="004D7E82" w:rsidP="005F018D">
            <w:pPr>
              <w:widowControl/>
              <w:ind w:left="115"/>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0.35</w:t>
            </w:r>
          </w:p>
        </w:tc>
        <w:tc>
          <w:tcPr>
            <w:tcW w:w="1610" w:type="dxa"/>
            <w:tcBorders>
              <w:top w:val="single" w:sz="4" w:space="0" w:color="000000"/>
              <w:left w:val="single" w:sz="4" w:space="0" w:color="000000"/>
              <w:bottom w:val="single" w:sz="4" w:space="0" w:color="000000"/>
              <w:right w:val="single" w:sz="4" w:space="0" w:color="000000"/>
            </w:tcBorders>
          </w:tcPr>
          <w:p w14:paraId="44C13C4C" w14:textId="231B5982" w:rsidR="004D7E82" w:rsidRPr="00A92233" w:rsidRDefault="004D7E82" w:rsidP="005F018D">
            <w:pPr>
              <w:widowControl/>
              <w:ind w:left="115"/>
              <w:textAlignment w:val="baseline"/>
              <w:rPr>
                <w:rFonts w:eastAsia="Trebuchet MS" w:cs="Arial"/>
                <w:color w:val="000000"/>
                <w:spacing w:val="-1"/>
                <w:sz w:val="20"/>
                <w:szCs w:val="20"/>
                <w:lang w:val="en-GB" w:bidi="ar-SA"/>
              </w:rPr>
            </w:pPr>
            <w:r w:rsidRPr="00A92233">
              <w:rPr>
                <w:rFonts w:eastAsia="Trebuchet MS" w:cs="Arial"/>
                <w:color w:val="000000"/>
                <w:spacing w:val="-1"/>
                <w:sz w:val="20"/>
                <w:szCs w:val="20"/>
                <w:lang w:val="en-GB" w:bidi="ar-SA"/>
              </w:rPr>
              <w:t>133/78/77</w:t>
            </w:r>
          </w:p>
        </w:tc>
        <w:tc>
          <w:tcPr>
            <w:tcW w:w="1792" w:type="dxa"/>
            <w:tcBorders>
              <w:top w:val="single" w:sz="4" w:space="0" w:color="000000"/>
              <w:left w:val="single" w:sz="4" w:space="0" w:color="000000"/>
              <w:bottom w:val="single" w:sz="4" w:space="0" w:color="000000"/>
              <w:right w:val="single" w:sz="4" w:space="0" w:color="000000"/>
            </w:tcBorders>
          </w:tcPr>
          <w:p w14:paraId="44330FBE" w14:textId="6B458B1E" w:rsidR="004D7E82" w:rsidRPr="00A92233" w:rsidRDefault="004D7E82" w:rsidP="005F018D">
            <w:pPr>
              <w:widowControl/>
              <w:ind w:left="12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6</w:t>
            </w:r>
          </w:p>
        </w:tc>
        <w:tc>
          <w:tcPr>
            <w:tcW w:w="3248" w:type="dxa"/>
            <w:tcBorders>
              <w:top w:val="single" w:sz="4" w:space="0" w:color="000000"/>
              <w:left w:val="single" w:sz="4" w:space="0" w:color="000000"/>
              <w:bottom w:val="single" w:sz="4" w:space="0" w:color="000000"/>
              <w:right w:val="single" w:sz="4" w:space="0" w:color="000000"/>
            </w:tcBorders>
          </w:tcPr>
          <w:p w14:paraId="75EFC795" w14:textId="65F6F542" w:rsidR="004D7E82" w:rsidRPr="00A92233" w:rsidRDefault="004D7E82" w:rsidP="005F018D">
            <w:pPr>
              <w:widowControl/>
              <w:ind w:left="72"/>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ARA levels supported.</w:t>
            </w:r>
          </w:p>
          <w:p w14:paraId="0AC89DFC" w14:textId="4E2BCC74" w:rsidR="004D7E82" w:rsidRPr="00A92233" w:rsidRDefault="004D7E82" w:rsidP="005F018D">
            <w:pPr>
              <w:widowControl/>
              <w:ind w:left="72" w:right="324"/>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ARA levels similar to BF and significantly higher than C (P&lt;.05).</w:t>
            </w:r>
          </w:p>
        </w:tc>
        <w:tc>
          <w:tcPr>
            <w:tcW w:w="3131" w:type="dxa"/>
            <w:tcBorders>
              <w:top w:val="single" w:sz="4" w:space="0" w:color="000000"/>
              <w:left w:val="single" w:sz="4" w:space="0" w:color="000000"/>
              <w:bottom w:val="single" w:sz="4" w:space="0" w:color="000000"/>
              <w:right w:val="single" w:sz="4" w:space="0" w:color="000000"/>
            </w:tcBorders>
          </w:tcPr>
          <w:p w14:paraId="4D6193F4" w14:textId="5B0BF412" w:rsidR="004D7E82" w:rsidRPr="00A92233" w:rsidRDefault="004D7E82" w:rsidP="005F018D">
            <w:pPr>
              <w:widowControl/>
              <w:ind w:left="72" w:right="216"/>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Quality - Groups comparable at baseline; selection and allocation procedures described; disposition of subjects provided; appropriate outcomes, outcomes reliably measured; adequate statistical power, large study</w:t>
            </w:r>
          </w:p>
          <w:p w14:paraId="40A2FBEB" w14:textId="77777777" w:rsidR="005F018D" w:rsidRPr="00A92233" w:rsidRDefault="004D7E82" w:rsidP="005F018D">
            <w:pPr>
              <w:widowControl/>
              <w:ind w:left="72" w:right="90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 xml:space="preserve">Limitations – none </w:t>
            </w:r>
          </w:p>
          <w:p w14:paraId="3375D574" w14:textId="47A73BA4" w:rsidR="004D7E82" w:rsidRPr="00A92233" w:rsidRDefault="004D7E82" w:rsidP="005F018D">
            <w:pPr>
              <w:widowControl/>
              <w:ind w:left="72" w:right="900"/>
              <w:textAlignment w:val="baseline"/>
              <w:rPr>
                <w:rFonts w:eastAsia="Trebuchet MS" w:cs="Arial"/>
                <w:color w:val="000000"/>
                <w:sz w:val="20"/>
                <w:szCs w:val="20"/>
                <w:lang w:val="en-GB" w:bidi="ar-SA"/>
              </w:rPr>
            </w:pPr>
            <w:r w:rsidRPr="00A92233">
              <w:rPr>
                <w:rFonts w:eastAsia="Trebuchet MS" w:cs="Arial"/>
                <w:color w:val="000000"/>
                <w:sz w:val="20"/>
                <w:szCs w:val="20"/>
                <w:lang w:val="en-GB" w:bidi="ar-SA"/>
              </w:rPr>
              <w:t>Overall – high quality</w:t>
            </w:r>
          </w:p>
        </w:tc>
      </w:tr>
    </w:tbl>
    <w:p w14:paraId="16BA116B" w14:textId="2736C63D" w:rsidR="004D7E82" w:rsidRPr="00A92233" w:rsidRDefault="00AE2D8A" w:rsidP="007D4C8D">
      <w:pPr>
        <w:pStyle w:val="FSCtblnotes"/>
        <w:rPr>
          <w:rFonts w:eastAsia="PMingLiU"/>
          <w:bCs w:val="0"/>
          <w:i/>
          <w:lang w:val="en-GB"/>
        </w:rPr>
      </w:pPr>
      <w:r w:rsidRPr="00A92233">
        <w:rPr>
          <w:rFonts w:eastAsia="PMingLiU"/>
          <w:lang w:val="en-GB"/>
        </w:rPr>
        <w:t xml:space="preserve">Source: </w:t>
      </w:r>
      <w:r w:rsidR="001D6400" w:rsidRPr="00A92233">
        <w:rPr>
          <w:rFonts w:eastAsia="PMingLiU"/>
          <w:lang w:val="en-GB"/>
        </w:rPr>
        <w:t xml:space="preserve">DSM </w:t>
      </w:r>
      <w:r w:rsidRPr="00A92233">
        <w:rPr>
          <w:rFonts w:eastAsia="PMingLiU"/>
          <w:bCs w:val="0"/>
          <w:i/>
          <w:lang w:val="en-GB"/>
        </w:rPr>
        <w:t xml:space="preserve">Dossier: Application for the Approval of DHA Algal Oil from </w:t>
      </w:r>
      <w:r w:rsidRPr="00A92233">
        <w:rPr>
          <w:rFonts w:eastAsia="PMingLiU"/>
          <w:lang w:val="en-GB"/>
        </w:rPr>
        <w:t>Schizochytrium</w:t>
      </w:r>
      <w:r w:rsidRPr="00A92233">
        <w:rPr>
          <w:rFonts w:eastAsia="PMingLiU"/>
          <w:bCs w:val="0"/>
          <w:i/>
          <w:lang w:val="en-GB"/>
        </w:rPr>
        <w:t xml:space="preserve"> sp. To Infant Formula Products (Including Pre-Term Infant Formula, Term Infant Formula and Follow On Formula. October 2015</w:t>
      </w:r>
    </w:p>
    <w:p w14:paraId="006A5CB4" w14:textId="6E3DC54D" w:rsidR="005F018D" w:rsidRPr="00A92233" w:rsidRDefault="005F018D" w:rsidP="007D4C8D">
      <w:pPr>
        <w:pStyle w:val="FSCtblnotes"/>
        <w:rPr>
          <w:lang w:val="en-GB"/>
        </w:rPr>
      </w:pPr>
    </w:p>
    <w:p w14:paraId="42DEF023" w14:textId="77777777" w:rsidR="005F018D" w:rsidRPr="00A92233" w:rsidRDefault="005F018D" w:rsidP="005F018D">
      <w:pPr>
        <w:rPr>
          <w:sz w:val="18"/>
          <w:lang w:val="en-GB"/>
        </w:rPr>
      </w:pPr>
      <w:r w:rsidRPr="00A92233">
        <w:rPr>
          <w:sz w:val="18"/>
          <w:lang w:val="en-GB"/>
        </w:rPr>
        <w:t xml:space="preserve">Abbreviations: </w:t>
      </w:r>
    </w:p>
    <w:p w14:paraId="7DAF47F3" w14:textId="77777777" w:rsidR="005F018D" w:rsidRPr="00A92233" w:rsidRDefault="005F018D" w:rsidP="005F018D">
      <w:pPr>
        <w:rPr>
          <w:sz w:val="18"/>
          <w:lang w:val="en-GB"/>
        </w:rPr>
      </w:pPr>
      <w:r w:rsidRPr="00A92233">
        <w:rPr>
          <w:sz w:val="18"/>
          <w:lang w:val="en-GB"/>
        </w:rPr>
        <w:t xml:space="preserve">DB RCT: double-blind, randomized controlled trial </w:t>
      </w:r>
    </w:p>
    <w:p w14:paraId="4868424B" w14:textId="77777777" w:rsidR="005F018D" w:rsidRPr="00A92233" w:rsidRDefault="005F018D" w:rsidP="005F018D">
      <w:pPr>
        <w:rPr>
          <w:sz w:val="18"/>
          <w:lang w:val="en-GB"/>
        </w:rPr>
      </w:pPr>
      <w:r w:rsidRPr="00A92233">
        <w:rPr>
          <w:sz w:val="18"/>
          <w:lang w:val="en-GB"/>
        </w:rPr>
        <w:t>DHA: docosahexaenoic acid</w:t>
      </w:r>
    </w:p>
    <w:p w14:paraId="62C40B64" w14:textId="77777777" w:rsidR="005F018D" w:rsidRPr="00A92233" w:rsidRDefault="005F018D" w:rsidP="005F018D">
      <w:pPr>
        <w:rPr>
          <w:sz w:val="18"/>
          <w:lang w:val="en-GB"/>
        </w:rPr>
      </w:pPr>
      <w:r w:rsidRPr="00A92233">
        <w:rPr>
          <w:sz w:val="18"/>
          <w:lang w:val="en-GB"/>
        </w:rPr>
        <w:t xml:space="preserve">ARA: arachidonic acid </w:t>
      </w:r>
    </w:p>
    <w:p w14:paraId="15F5D47F" w14:textId="77777777" w:rsidR="005F018D" w:rsidRPr="00A92233" w:rsidRDefault="005F018D" w:rsidP="005F018D">
      <w:pPr>
        <w:rPr>
          <w:sz w:val="18"/>
          <w:lang w:val="en-GB"/>
        </w:rPr>
      </w:pPr>
      <w:r w:rsidRPr="00A92233">
        <w:rPr>
          <w:sz w:val="18"/>
          <w:lang w:val="en-GB"/>
        </w:rPr>
        <w:t>Mo: months</w:t>
      </w:r>
    </w:p>
    <w:p w14:paraId="12E5C576" w14:textId="77777777" w:rsidR="005F018D" w:rsidRPr="00A92233" w:rsidRDefault="005F018D" w:rsidP="005F018D">
      <w:pPr>
        <w:rPr>
          <w:sz w:val="18"/>
          <w:lang w:val="en-GB"/>
        </w:rPr>
      </w:pPr>
      <w:r w:rsidRPr="00A92233">
        <w:rPr>
          <w:sz w:val="18"/>
          <w:lang w:val="en-GB"/>
        </w:rPr>
        <w:t>%FA: percent of fatty acids</w:t>
      </w:r>
    </w:p>
    <w:p w14:paraId="13D4F19F" w14:textId="77777777" w:rsidR="005F018D" w:rsidRPr="00A92233" w:rsidRDefault="005F018D" w:rsidP="005F018D">
      <w:pPr>
        <w:rPr>
          <w:sz w:val="18"/>
          <w:lang w:val="en-GB"/>
        </w:rPr>
      </w:pPr>
      <w:r w:rsidRPr="00A92233">
        <w:rPr>
          <w:sz w:val="18"/>
          <w:lang w:val="en-GB"/>
        </w:rPr>
        <w:t xml:space="preserve">BF: breast-fed </w:t>
      </w:r>
    </w:p>
    <w:p w14:paraId="6B462B9D" w14:textId="77777777" w:rsidR="005F018D" w:rsidRPr="00A92233" w:rsidRDefault="005F018D" w:rsidP="005F018D">
      <w:pPr>
        <w:rPr>
          <w:sz w:val="18"/>
          <w:lang w:val="en-GB"/>
        </w:rPr>
      </w:pPr>
      <w:r w:rsidRPr="00A92233">
        <w:rPr>
          <w:sz w:val="18"/>
          <w:lang w:val="en-GB"/>
        </w:rPr>
        <w:t>C: control</w:t>
      </w:r>
    </w:p>
    <w:p w14:paraId="63229F08" w14:textId="74EAD324" w:rsidR="00E614D8" w:rsidRPr="00A92233" w:rsidRDefault="001D6400" w:rsidP="00173FEF">
      <w:pPr>
        <w:rPr>
          <w:lang w:val="en-GB"/>
        </w:rPr>
      </w:pPr>
      <w:r w:rsidRPr="00A92233">
        <w:rPr>
          <w:sz w:val="18"/>
          <w:lang w:val="en-GB"/>
        </w:rPr>
        <w:t>*Preterm infant study</w:t>
      </w:r>
    </w:p>
    <w:sectPr w:rsidR="00E614D8" w:rsidRPr="00A92233" w:rsidSect="005A35FB">
      <w:pgSz w:w="16838" w:h="11906" w:orient="landscape"/>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DBB991" w15:done="0"/>
  <w15:commentEx w15:paraId="3183F970" w15:done="0"/>
  <w15:commentEx w15:paraId="3DC08B58" w15:done="0"/>
  <w15:commentEx w15:paraId="4F195E6A" w15:done="0"/>
  <w15:commentEx w15:paraId="142759B7" w15:done="0"/>
  <w15:commentEx w15:paraId="3828DC70" w15:done="0"/>
  <w15:commentEx w15:paraId="349D3FA2" w15:done="0"/>
  <w15:commentEx w15:paraId="6126FCF0" w15:done="0"/>
  <w15:commentEx w15:paraId="2FC273A8" w15:done="0"/>
  <w15:commentEx w15:paraId="0ED6C355" w15:done="0"/>
  <w15:commentEx w15:paraId="2C0916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EE7AD" w14:textId="77777777" w:rsidR="00AE0960" w:rsidRDefault="00AE0960">
      <w:r>
        <w:separator/>
      </w:r>
    </w:p>
  </w:endnote>
  <w:endnote w:type="continuationSeparator" w:id="0">
    <w:p w14:paraId="13B4BDB9" w14:textId="77777777" w:rsidR="00AE0960" w:rsidRDefault="00AE0960">
      <w:r>
        <w:continuationSeparator/>
      </w:r>
    </w:p>
  </w:endnote>
  <w:endnote w:type="continuationNotice" w:id="1">
    <w:p w14:paraId="66AB5116" w14:textId="77777777" w:rsidR="00AE0960" w:rsidRDefault="00AE0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BB5A" w14:textId="77777777" w:rsidR="009C60D7" w:rsidRDefault="009C60D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23174" w14:textId="77777777" w:rsidR="009C60D7" w:rsidRDefault="009C6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36FBE" w14:textId="5EE4BF05" w:rsidR="009C60D7" w:rsidRDefault="009C60D7" w:rsidP="005F0105">
    <w:pPr>
      <w:pStyle w:val="Footer"/>
      <w:framePr w:wrap="around" w:vAnchor="text" w:hAnchor="page" w:x="6346" w:y="-13"/>
      <w:rPr>
        <w:rStyle w:val="PageNumber"/>
      </w:rPr>
    </w:pPr>
    <w:r>
      <w:rPr>
        <w:rStyle w:val="PageNumber"/>
      </w:rPr>
      <w:fldChar w:fldCharType="begin"/>
    </w:r>
    <w:r>
      <w:rPr>
        <w:rStyle w:val="PageNumber"/>
      </w:rPr>
      <w:instrText xml:space="preserve">PAGE  </w:instrText>
    </w:r>
    <w:r>
      <w:rPr>
        <w:rStyle w:val="PageNumber"/>
      </w:rPr>
      <w:fldChar w:fldCharType="separate"/>
    </w:r>
    <w:r w:rsidR="00F51A52">
      <w:rPr>
        <w:rStyle w:val="PageNumber"/>
        <w:noProof/>
      </w:rPr>
      <w:t>1</w:t>
    </w:r>
    <w:r>
      <w:rPr>
        <w:rStyle w:val="PageNumber"/>
      </w:rPr>
      <w:fldChar w:fldCharType="end"/>
    </w:r>
  </w:p>
  <w:p w14:paraId="1012A903" w14:textId="77777777" w:rsidR="009C60D7" w:rsidRDefault="009C60D7" w:rsidP="005F0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C6BD5" w14:textId="77777777" w:rsidR="00395616" w:rsidRDefault="003956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1F7FD" w14:textId="77777777" w:rsidR="009C60D7" w:rsidRDefault="009C60D7" w:rsidP="005F0105">
    <w:pPr>
      <w:pStyle w:val="Footer"/>
      <w:framePr w:wrap="around" w:vAnchor="text" w:hAnchor="page" w:x="6346" w:y="-13"/>
      <w:rPr>
        <w:rStyle w:val="PageNumber"/>
      </w:rPr>
    </w:pPr>
    <w:r>
      <w:rPr>
        <w:rStyle w:val="PageNumber"/>
      </w:rPr>
      <w:fldChar w:fldCharType="begin"/>
    </w:r>
    <w:r>
      <w:rPr>
        <w:rStyle w:val="PageNumber"/>
      </w:rPr>
      <w:instrText xml:space="preserve">PAGE  </w:instrText>
    </w:r>
    <w:r>
      <w:rPr>
        <w:rStyle w:val="PageNumber"/>
      </w:rPr>
      <w:fldChar w:fldCharType="separate"/>
    </w:r>
    <w:r w:rsidR="00F51A52">
      <w:rPr>
        <w:rStyle w:val="PageNumber"/>
        <w:noProof/>
      </w:rPr>
      <w:t>39</w:t>
    </w:r>
    <w:r>
      <w:rPr>
        <w:rStyle w:val="PageNumber"/>
      </w:rPr>
      <w:fldChar w:fldCharType="end"/>
    </w:r>
  </w:p>
  <w:p w14:paraId="57739560" w14:textId="77777777" w:rsidR="009C60D7" w:rsidRDefault="009C60D7" w:rsidP="005F0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D8C76" w14:textId="77777777" w:rsidR="00AE0960" w:rsidRDefault="00AE0960">
      <w:r>
        <w:separator/>
      </w:r>
    </w:p>
  </w:footnote>
  <w:footnote w:type="continuationSeparator" w:id="0">
    <w:p w14:paraId="0CC2EB4E" w14:textId="77777777" w:rsidR="00AE0960" w:rsidRDefault="00AE0960">
      <w:r>
        <w:continuationSeparator/>
      </w:r>
    </w:p>
  </w:footnote>
  <w:footnote w:type="continuationNotice" w:id="1">
    <w:p w14:paraId="54ECE418" w14:textId="77777777" w:rsidR="00AE0960" w:rsidRDefault="00AE0960"/>
  </w:footnote>
  <w:footnote w:id="2">
    <w:p w14:paraId="29CE5929" w14:textId="69AF4B49" w:rsidR="009C60D7" w:rsidRPr="00B667A6" w:rsidRDefault="009C60D7" w:rsidP="00CE5720">
      <w:pPr>
        <w:pStyle w:val="FootnoteText"/>
        <w:rPr>
          <w:sz w:val="18"/>
          <w:szCs w:val="18"/>
        </w:rPr>
      </w:pPr>
      <w:r>
        <w:rPr>
          <w:rStyle w:val="FootnoteReference"/>
        </w:rPr>
        <w:footnoteRef/>
      </w:r>
      <w:r>
        <w:t xml:space="preserve"> </w:t>
      </w:r>
      <w:r w:rsidRPr="00B667A6">
        <w:rPr>
          <w:sz w:val="18"/>
          <w:szCs w:val="18"/>
        </w:rPr>
        <w:t xml:space="preserve">Calculation based on maximum allowable </w:t>
      </w:r>
      <w:r>
        <w:rPr>
          <w:rFonts w:cs="Arial"/>
          <w:sz w:val="18"/>
          <w:szCs w:val="18"/>
        </w:rPr>
        <w:t>n</w:t>
      </w:r>
      <w:r w:rsidRPr="00B667A6">
        <w:rPr>
          <w:sz w:val="18"/>
          <w:szCs w:val="18"/>
        </w:rPr>
        <w:t>-3 LC</w:t>
      </w:r>
      <w:r>
        <w:rPr>
          <w:sz w:val="18"/>
          <w:szCs w:val="18"/>
        </w:rPr>
        <w:t>-</w:t>
      </w:r>
      <w:r w:rsidRPr="00B667A6">
        <w:rPr>
          <w:sz w:val="18"/>
          <w:szCs w:val="18"/>
        </w:rPr>
        <w:t xml:space="preserve">PUFA content of 1% of total fatty acids in infant formula products and a maximum allowable fat concentration of 1.5 g/100kJ. Given that the fatty acid content of fat is approximately 95% wt/wt, the maximum allowable fatty acid content is 1.4 g/100 kJ, and thus the maximum allowable </w:t>
      </w:r>
      <w:r>
        <w:rPr>
          <w:rFonts w:cs="Arial"/>
          <w:sz w:val="18"/>
          <w:szCs w:val="18"/>
        </w:rPr>
        <w:t>n</w:t>
      </w:r>
      <w:r w:rsidRPr="00B667A6">
        <w:rPr>
          <w:sz w:val="18"/>
          <w:szCs w:val="18"/>
        </w:rPr>
        <w:t>-3 LC</w:t>
      </w:r>
      <w:r>
        <w:rPr>
          <w:sz w:val="18"/>
          <w:szCs w:val="18"/>
        </w:rPr>
        <w:t>-</w:t>
      </w:r>
      <w:r w:rsidRPr="00B667A6">
        <w:rPr>
          <w:sz w:val="18"/>
          <w:szCs w:val="18"/>
        </w:rPr>
        <w:t xml:space="preserve">PUFA is 0.014 g/100kJ. A maximum energy content of 3150 kJ/L in </w:t>
      </w:r>
      <w:r>
        <w:rPr>
          <w:sz w:val="18"/>
          <w:szCs w:val="18"/>
        </w:rPr>
        <w:t>infant formula products</w:t>
      </w:r>
      <w:r w:rsidRPr="00B667A6">
        <w:rPr>
          <w:sz w:val="18"/>
          <w:szCs w:val="18"/>
        </w:rPr>
        <w:t xml:space="preserve"> means a maximum of 450 mg </w:t>
      </w:r>
      <w:r>
        <w:rPr>
          <w:rFonts w:cs="Arial"/>
          <w:sz w:val="18"/>
          <w:szCs w:val="18"/>
        </w:rPr>
        <w:t>n</w:t>
      </w:r>
      <w:r w:rsidRPr="00B667A6">
        <w:rPr>
          <w:sz w:val="18"/>
          <w:szCs w:val="18"/>
        </w:rPr>
        <w:t>-3 LC</w:t>
      </w:r>
      <w:r>
        <w:rPr>
          <w:sz w:val="18"/>
          <w:szCs w:val="18"/>
        </w:rPr>
        <w:t>-</w:t>
      </w:r>
      <w:r w:rsidRPr="00B667A6">
        <w:rPr>
          <w:sz w:val="18"/>
          <w:szCs w:val="18"/>
        </w:rPr>
        <w:t>PUFA and 360 mg per 800 mL intake</w:t>
      </w:r>
      <w:r>
        <w:rPr>
          <w:sz w:val="18"/>
          <w:szCs w:val="18"/>
        </w:rPr>
        <w:t>, which is the average intake of breast milk for 0–6 month infants (Nutrient Reference Values for Australia and New Zealand, NH&amp;MRC, 2005)</w:t>
      </w:r>
      <w:r w:rsidRPr="00B667A6">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AE17" w14:textId="77777777" w:rsidR="00395616" w:rsidRDefault="00395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6FE79" w14:textId="17CB1623" w:rsidR="009C60D7" w:rsidRPr="007D03EA" w:rsidRDefault="009C60D7"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D4FCD" w14:textId="77777777" w:rsidR="009C60D7" w:rsidRDefault="009C60D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43A"/>
    <w:multiLevelType w:val="hybridMultilevel"/>
    <w:tmpl w:val="5100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5EE0966"/>
    <w:multiLevelType w:val="multilevel"/>
    <w:tmpl w:val="9FBA08FE"/>
    <w:lvl w:ilvl="0">
      <w:start w:val="4"/>
      <w:numFmt w:val="decimal"/>
      <w:lvlText w:val="%1"/>
      <w:lvlJc w:val="left"/>
      <w:pPr>
        <w:ind w:left="885" w:hanging="885"/>
      </w:pPr>
      <w:rPr>
        <w:rFonts w:hint="default"/>
      </w:rPr>
    </w:lvl>
    <w:lvl w:ilvl="1">
      <w:start w:val="6"/>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4B2310"/>
    <w:multiLevelType w:val="hybridMultilevel"/>
    <w:tmpl w:val="D9CA9CB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860C12"/>
    <w:multiLevelType w:val="multilevel"/>
    <w:tmpl w:val="84485B5C"/>
    <w:lvl w:ilvl="0">
      <w:start w:val="4"/>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26054271"/>
    <w:multiLevelType w:val="hybridMultilevel"/>
    <w:tmpl w:val="689A6D90"/>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417A56"/>
    <w:multiLevelType w:val="hybridMultilevel"/>
    <w:tmpl w:val="0F7EA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3080983"/>
    <w:multiLevelType w:val="hybridMultilevel"/>
    <w:tmpl w:val="A9DC0286"/>
    <w:lvl w:ilvl="0" w:tplc="83106B1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E5D400D"/>
    <w:multiLevelType w:val="multilevel"/>
    <w:tmpl w:val="0F6281BE"/>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A53B08"/>
    <w:multiLevelType w:val="hybridMultilevel"/>
    <w:tmpl w:val="D166EA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4EF147ED"/>
    <w:multiLevelType w:val="hybridMultilevel"/>
    <w:tmpl w:val="42EC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E9033D"/>
    <w:multiLevelType w:val="hybridMultilevel"/>
    <w:tmpl w:val="36A81DA2"/>
    <w:lvl w:ilvl="0" w:tplc="04A8DDC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8"/>
  </w:num>
  <w:num w:numId="5">
    <w:abstractNumId w:val="11"/>
  </w:num>
  <w:num w:numId="6">
    <w:abstractNumId w:val="9"/>
  </w:num>
  <w:num w:numId="7">
    <w:abstractNumId w:val="0"/>
  </w:num>
  <w:num w:numId="8">
    <w:abstractNumId w:val="3"/>
  </w:num>
  <w:num w:numId="9">
    <w:abstractNumId w:val="6"/>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4"/>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537"/>
    <w:rsid w:val="00001CF2"/>
    <w:rsid w:val="0000247B"/>
    <w:rsid w:val="0000469B"/>
    <w:rsid w:val="000077B2"/>
    <w:rsid w:val="00011775"/>
    <w:rsid w:val="0001282A"/>
    <w:rsid w:val="00021A2C"/>
    <w:rsid w:val="000255E9"/>
    <w:rsid w:val="00035FF3"/>
    <w:rsid w:val="000421DA"/>
    <w:rsid w:val="00043352"/>
    <w:rsid w:val="00046092"/>
    <w:rsid w:val="00051021"/>
    <w:rsid w:val="00051ED9"/>
    <w:rsid w:val="00053874"/>
    <w:rsid w:val="0005701D"/>
    <w:rsid w:val="00057181"/>
    <w:rsid w:val="0006473A"/>
    <w:rsid w:val="00064B2D"/>
    <w:rsid w:val="00065F1F"/>
    <w:rsid w:val="000704DA"/>
    <w:rsid w:val="00076D33"/>
    <w:rsid w:val="000771B9"/>
    <w:rsid w:val="00083079"/>
    <w:rsid w:val="00083BA9"/>
    <w:rsid w:val="00084DC2"/>
    <w:rsid w:val="00085EB2"/>
    <w:rsid w:val="0008638B"/>
    <w:rsid w:val="000867EF"/>
    <w:rsid w:val="00086BE1"/>
    <w:rsid w:val="00091EA9"/>
    <w:rsid w:val="00092CDA"/>
    <w:rsid w:val="00097E1E"/>
    <w:rsid w:val="000A27E9"/>
    <w:rsid w:val="000A3D8B"/>
    <w:rsid w:val="000A5176"/>
    <w:rsid w:val="000A5DF8"/>
    <w:rsid w:val="000B131F"/>
    <w:rsid w:val="000B1752"/>
    <w:rsid w:val="000B36F6"/>
    <w:rsid w:val="000B5C9D"/>
    <w:rsid w:val="000B5CC2"/>
    <w:rsid w:val="000B6AF2"/>
    <w:rsid w:val="000C0504"/>
    <w:rsid w:val="000C3BED"/>
    <w:rsid w:val="000D3C9A"/>
    <w:rsid w:val="000D62BA"/>
    <w:rsid w:val="000D6FD4"/>
    <w:rsid w:val="000E0AE4"/>
    <w:rsid w:val="000E3DBC"/>
    <w:rsid w:val="000E3DCF"/>
    <w:rsid w:val="000F7F84"/>
    <w:rsid w:val="00104A74"/>
    <w:rsid w:val="00106D68"/>
    <w:rsid w:val="00106F8E"/>
    <w:rsid w:val="0011176B"/>
    <w:rsid w:val="00113CE3"/>
    <w:rsid w:val="00117522"/>
    <w:rsid w:val="00126687"/>
    <w:rsid w:val="001313E3"/>
    <w:rsid w:val="00134341"/>
    <w:rsid w:val="00140882"/>
    <w:rsid w:val="0015004E"/>
    <w:rsid w:val="0015312D"/>
    <w:rsid w:val="001542D8"/>
    <w:rsid w:val="001575A7"/>
    <w:rsid w:val="00167E1D"/>
    <w:rsid w:val="0017229A"/>
    <w:rsid w:val="00173FEF"/>
    <w:rsid w:val="00174551"/>
    <w:rsid w:val="00174EC5"/>
    <w:rsid w:val="001754A3"/>
    <w:rsid w:val="0017612B"/>
    <w:rsid w:val="00180C41"/>
    <w:rsid w:val="001824B6"/>
    <w:rsid w:val="00182C4C"/>
    <w:rsid w:val="00187707"/>
    <w:rsid w:val="0019035D"/>
    <w:rsid w:val="00190EBC"/>
    <w:rsid w:val="00194445"/>
    <w:rsid w:val="00195ECC"/>
    <w:rsid w:val="00197D8D"/>
    <w:rsid w:val="001A1A75"/>
    <w:rsid w:val="001A7E9A"/>
    <w:rsid w:val="001B52DB"/>
    <w:rsid w:val="001B6CCB"/>
    <w:rsid w:val="001C09C0"/>
    <w:rsid w:val="001C27A3"/>
    <w:rsid w:val="001C3C3F"/>
    <w:rsid w:val="001C5295"/>
    <w:rsid w:val="001C7B07"/>
    <w:rsid w:val="001D08CF"/>
    <w:rsid w:val="001D3BFC"/>
    <w:rsid w:val="001D6400"/>
    <w:rsid w:val="001D64F2"/>
    <w:rsid w:val="001E09FA"/>
    <w:rsid w:val="001E4690"/>
    <w:rsid w:val="002008FF"/>
    <w:rsid w:val="00200B76"/>
    <w:rsid w:val="00203540"/>
    <w:rsid w:val="002051B9"/>
    <w:rsid w:val="002129F9"/>
    <w:rsid w:val="0021612B"/>
    <w:rsid w:val="0022083A"/>
    <w:rsid w:val="00221D07"/>
    <w:rsid w:val="002268A0"/>
    <w:rsid w:val="0022754C"/>
    <w:rsid w:val="00227B66"/>
    <w:rsid w:val="00227E4A"/>
    <w:rsid w:val="00231240"/>
    <w:rsid w:val="002323B6"/>
    <w:rsid w:val="002367AB"/>
    <w:rsid w:val="00240B49"/>
    <w:rsid w:val="002413C2"/>
    <w:rsid w:val="00243DFE"/>
    <w:rsid w:val="0024582E"/>
    <w:rsid w:val="00245C56"/>
    <w:rsid w:val="002538EE"/>
    <w:rsid w:val="00253B8B"/>
    <w:rsid w:val="002547EF"/>
    <w:rsid w:val="00254D00"/>
    <w:rsid w:val="00255D57"/>
    <w:rsid w:val="00255DFC"/>
    <w:rsid w:val="00256D65"/>
    <w:rsid w:val="00261936"/>
    <w:rsid w:val="00263ACE"/>
    <w:rsid w:val="00271F00"/>
    <w:rsid w:val="002723A7"/>
    <w:rsid w:val="00273A80"/>
    <w:rsid w:val="00276891"/>
    <w:rsid w:val="0028111C"/>
    <w:rsid w:val="00281470"/>
    <w:rsid w:val="00285865"/>
    <w:rsid w:val="00286FDD"/>
    <w:rsid w:val="00287804"/>
    <w:rsid w:val="0029204E"/>
    <w:rsid w:val="00294E19"/>
    <w:rsid w:val="0029539A"/>
    <w:rsid w:val="0029631C"/>
    <w:rsid w:val="00297A02"/>
    <w:rsid w:val="002A0194"/>
    <w:rsid w:val="002A3274"/>
    <w:rsid w:val="002A3314"/>
    <w:rsid w:val="002A4CA6"/>
    <w:rsid w:val="002A5F8B"/>
    <w:rsid w:val="002A6789"/>
    <w:rsid w:val="002A7F6C"/>
    <w:rsid w:val="002B507B"/>
    <w:rsid w:val="002B51E4"/>
    <w:rsid w:val="002B7BC0"/>
    <w:rsid w:val="002C042E"/>
    <w:rsid w:val="002C1759"/>
    <w:rsid w:val="002C4900"/>
    <w:rsid w:val="002D6809"/>
    <w:rsid w:val="002D70FE"/>
    <w:rsid w:val="002E1E56"/>
    <w:rsid w:val="002E3860"/>
    <w:rsid w:val="002E74A0"/>
    <w:rsid w:val="002F1C24"/>
    <w:rsid w:val="002F60D4"/>
    <w:rsid w:val="002F6488"/>
    <w:rsid w:val="002F7906"/>
    <w:rsid w:val="00303EC3"/>
    <w:rsid w:val="0030472F"/>
    <w:rsid w:val="003054B6"/>
    <w:rsid w:val="0030550F"/>
    <w:rsid w:val="00306822"/>
    <w:rsid w:val="00316D4C"/>
    <w:rsid w:val="00320839"/>
    <w:rsid w:val="003213F9"/>
    <w:rsid w:val="00323DBF"/>
    <w:rsid w:val="00325CCF"/>
    <w:rsid w:val="00326D85"/>
    <w:rsid w:val="003309A8"/>
    <w:rsid w:val="00332B12"/>
    <w:rsid w:val="00336441"/>
    <w:rsid w:val="00346610"/>
    <w:rsid w:val="00347AE6"/>
    <w:rsid w:val="00351B07"/>
    <w:rsid w:val="00352CF2"/>
    <w:rsid w:val="0035654E"/>
    <w:rsid w:val="003569C2"/>
    <w:rsid w:val="00357E85"/>
    <w:rsid w:val="00360DF8"/>
    <w:rsid w:val="00363588"/>
    <w:rsid w:val="00364841"/>
    <w:rsid w:val="00364D7C"/>
    <w:rsid w:val="00371B29"/>
    <w:rsid w:val="0037656B"/>
    <w:rsid w:val="003815A1"/>
    <w:rsid w:val="00391769"/>
    <w:rsid w:val="003953E1"/>
    <w:rsid w:val="00395616"/>
    <w:rsid w:val="003956B3"/>
    <w:rsid w:val="003A68BE"/>
    <w:rsid w:val="003B0E1D"/>
    <w:rsid w:val="003B1805"/>
    <w:rsid w:val="003B38D3"/>
    <w:rsid w:val="003B3C9D"/>
    <w:rsid w:val="003B7017"/>
    <w:rsid w:val="003B78E0"/>
    <w:rsid w:val="003C1E04"/>
    <w:rsid w:val="003C4969"/>
    <w:rsid w:val="003C6C86"/>
    <w:rsid w:val="003D3A4D"/>
    <w:rsid w:val="003D54E8"/>
    <w:rsid w:val="003E41D5"/>
    <w:rsid w:val="003E46BA"/>
    <w:rsid w:val="003E57E5"/>
    <w:rsid w:val="003E5EFF"/>
    <w:rsid w:val="003E7649"/>
    <w:rsid w:val="003E7C7C"/>
    <w:rsid w:val="003E7D22"/>
    <w:rsid w:val="003F17AD"/>
    <w:rsid w:val="003F6328"/>
    <w:rsid w:val="003F74C1"/>
    <w:rsid w:val="004018EC"/>
    <w:rsid w:val="00401FB3"/>
    <w:rsid w:val="00403A9C"/>
    <w:rsid w:val="00404CFE"/>
    <w:rsid w:val="0040591A"/>
    <w:rsid w:val="00405B1A"/>
    <w:rsid w:val="00406CB8"/>
    <w:rsid w:val="00410C76"/>
    <w:rsid w:val="00411907"/>
    <w:rsid w:val="004128F1"/>
    <w:rsid w:val="00413628"/>
    <w:rsid w:val="004136F4"/>
    <w:rsid w:val="00413CA8"/>
    <w:rsid w:val="004143E6"/>
    <w:rsid w:val="00416566"/>
    <w:rsid w:val="00417EE3"/>
    <w:rsid w:val="004207EB"/>
    <w:rsid w:val="00423279"/>
    <w:rsid w:val="00427307"/>
    <w:rsid w:val="00437276"/>
    <w:rsid w:val="00440061"/>
    <w:rsid w:val="004439D6"/>
    <w:rsid w:val="00444D7A"/>
    <w:rsid w:val="00446065"/>
    <w:rsid w:val="004462D3"/>
    <w:rsid w:val="00446F2B"/>
    <w:rsid w:val="0045057C"/>
    <w:rsid w:val="00456B54"/>
    <w:rsid w:val="0045721E"/>
    <w:rsid w:val="00464643"/>
    <w:rsid w:val="004678E6"/>
    <w:rsid w:val="00470A8D"/>
    <w:rsid w:val="00485C7F"/>
    <w:rsid w:val="00486793"/>
    <w:rsid w:val="0048711C"/>
    <w:rsid w:val="00491083"/>
    <w:rsid w:val="004A2037"/>
    <w:rsid w:val="004A4D0D"/>
    <w:rsid w:val="004B6664"/>
    <w:rsid w:val="004B7051"/>
    <w:rsid w:val="004B7146"/>
    <w:rsid w:val="004C16C3"/>
    <w:rsid w:val="004C2CE7"/>
    <w:rsid w:val="004C33AB"/>
    <w:rsid w:val="004D31A1"/>
    <w:rsid w:val="004D42B4"/>
    <w:rsid w:val="004D7E82"/>
    <w:rsid w:val="004E1776"/>
    <w:rsid w:val="004F1D66"/>
    <w:rsid w:val="004F2257"/>
    <w:rsid w:val="004F2931"/>
    <w:rsid w:val="004F4F98"/>
    <w:rsid w:val="004F69F6"/>
    <w:rsid w:val="004F79AC"/>
    <w:rsid w:val="005017CF"/>
    <w:rsid w:val="00510ED6"/>
    <w:rsid w:val="005113A7"/>
    <w:rsid w:val="005120ED"/>
    <w:rsid w:val="0051248A"/>
    <w:rsid w:val="005154AC"/>
    <w:rsid w:val="00517328"/>
    <w:rsid w:val="00517FD6"/>
    <w:rsid w:val="005207D8"/>
    <w:rsid w:val="00525D46"/>
    <w:rsid w:val="00532FE2"/>
    <w:rsid w:val="0053464E"/>
    <w:rsid w:val="0054272D"/>
    <w:rsid w:val="00546504"/>
    <w:rsid w:val="00551778"/>
    <w:rsid w:val="00562917"/>
    <w:rsid w:val="00563B42"/>
    <w:rsid w:val="00566258"/>
    <w:rsid w:val="00571148"/>
    <w:rsid w:val="005757A0"/>
    <w:rsid w:val="00576093"/>
    <w:rsid w:val="00580DE2"/>
    <w:rsid w:val="0058205E"/>
    <w:rsid w:val="00586228"/>
    <w:rsid w:val="00590B16"/>
    <w:rsid w:val="005930A1"/>
    <w:rsid w:val="005939F4"/>
    <w:rsid w:val="0059787C"/>
    <w:rsid w:val="005A1B0A"/>
    <w:rsid w:val="005A1D97"/>
    <w:rsid w:val="005A35FB"/>
    <w:rsid w:val="005A55E3"/>
    <w:rsid w:val="005A58F3"/>
    <w:rsid w:val="005A753D"/>
    <w:rsid w:val="005B0BAC"/>
    <w:rsid w:val="005B6AF4"/>
    <w:rsid w:val="005B7A73"/>
    <w:rsid w:val="005C04CB"/>
    <w:rsid w:val="005C29D5"/>
    <w:rsid w:val="005C328C"/>
    <w:rsid w:val="005C7501"/>
    <w:rsid w:val="005D16AD"/>
    <w:rsid w:val="005D72E1"/>
    <w:rsid w:val="005E6E16"/>
    <w:rsid w:val="005F0105"/>
    <w:rsid w:val="005F018D"/>
    <w:rsid w:val="005F3177"/>
    <w:rsid w:val="005F400E"/>
    <w:rsid w:val="005F7342"/>
    <w:rsid w:val="005F73F1"/>
    <w:rsid w:val="00603A08"/>
    <w:rsid w:val="0060695A"/>
    <w:rsid w:val="00610A3C"/>
    <w:rsid w:val="00612D06"/>
    <w:rsid w:val="006151F0"/>
    <w:rsid w:val="00622335"/>
    <w:rsid w:val="00622CF8"/>
    <w:rsid w:val="00627F48"/>
    <w:rsid w:val="00630C23"/>
    <w:rsid w:val="00634309"/>
    <w:rsid w:val="00634E58"/>
    <w:rsid w:val="006412B7"/>
    <w:rsid w:val="006460AB"/>
    <w:rsid w:val="006475DC"/>
    <w:rsid w:val="006537A3"/>
    <w:rsid w:val="00663FCF"/>
    <w:rsid w:val="006652A2"/>
    <w:rsid w:val="00667630"/>
    <w:rsid w:val="00690206"/>
    <w:rsid w:val="006937FF"/>
    <w:rsid w:val="00696C1D"/>
    <w:rsid w:val="006A48A7"/>
    <w:rsid w:val="006A7C97"/>
    <w:rsid w:val="006B1C63"/>
    <w:rsid w:val="006B2FF2"/>
    <w:rsid w:val="006B3DB4"/>
    <w:rsid w:val="006B4BA1"/>
    <w:rsid w:val="006B4E1A"/>
    <w:rsid w:val="006B5EBE"/>
    <w:rsid w:val="006C4F14"/>
    <w:rsid w:val="006C5CF5"/>
    <w:rsid w:val="006D0E71"/>
    <w:rsid w:val="006D346D"/>
    <w:rsid w:val="006F0F36"/>
    <w:rsid w:val="006F1A75"/>
    <w:rsid w:val="006F4A82"/>
    <w:rsid w:val="006F5B0A"/>
    <w:rsid w:val="006F7F2B"/>
    <w:rsid w:val="00700D38"/>
    <w:rsid w:val="0070373B"/>
    <w:rsid w:val="007050BF"/>
    <w:rsid w:val="00712289"/>
    <w:rsid w:val="007141CF"/>
    <w:rsid w:val="0071765A"/>
    <w:rsid w:val="0072275F"/>
    <w:rsid w:val="00724FA4"/>
    <w:rsid w:val="00730800"/>
    <w:rsid w:val="0073217F"/>
    <w:rsid w:val="00735C3C"/>
    <w:rsid w:val="00736381"/>
    <w:rsid w:val="00736B79"/>
    <w:rsid w:val="00741654"/>
    <w:rsid w:val="007454AB"/>
    <w:rsid w:val="00745633"/>
    <w:rsid w:val="007469FA"/>
    <w:rsid w:val="00746CAF"/>
    <w:rsid w:val="00747F9F"/>
    <w:rsid w:val="00752B26"/>
    <w:rsid w:val="00754881"/>
    <w:rsid w:val="007602AA"/>
    <w:rsid w:val="00763155"/>
    <w:rsid w:val="007652EF"/>
    <w:rsid w:val="00765BB6"/>
    <w:rsid w:val="00772BDC"/>
    <w:rsid w:val="0077593F"/>
    <w:rsid w:val="00775A1A"/>
    <w:rsid w:val="00780792"/>
    <w:rsid w:val="00781A0C"/>
    <w:rsid w:val="00784007"/>
    <w:rsid w:val="00796562"/>
    <w:rsid w:val="007A44B4"/>
    <w:rsid w:val="007A7D3D"/>
    <w:rsid w:val="007B225D"/>
    <w:rsid w:val="007B2730"/>
    <w:rsid w:val="007C0F8D"/>
    <w:rsid w:val="007C174F"/>
    <w:rsid w:val="007C1C64"/>
    <w:rsid w:val="007D03EA"/>
    <w:rsid w:val="007D1D6B"/>
    <w:rsid w:val="007D362D"/>
    <w:rsid w:val="007D4C8D"/>
    <w:rsid w:val="007D6199"/>
    <w:rsid w:val="007E48BC"/>
    <w:rsid w:val="007E79F7"/>
    <w:rsid w:val="007F3630"/>
    <w:rsid w:val="007F42A6"/>
    <w:rsid w:val="007F5588"/>
    <w:rsid w:val="00800A37"/>
    <w:rsid w:val="0080485E"/>
    <w:rsid w:val="00807212"/>
    <w:rsid w:val="00807559"/>
    <w:rsid w:val="00822559"/>
    <w:rsid w:val="00824194"/>
    <w:rsid w:val="00824D14"/>
    <w:rsid w:val="00825642"/>
    <w:rsid w:val="008261BF"/>
    <w:rsid w:val="00841D0C"/>
    <w:rsid w:val="008450BC"/>
    <w:rsid w:val="00846F3B"/>
    <w:rsid w:val="0085334B"/>
    <w:rsid w:val="00861498"/>
    <w:rsid w:val="008628E4"/>
    <w:rsid w:val="00864079"/>
    <w:rsid w:val="00870214"/>
    <w:rsid w:val="008710D1"/>
    <w:rsid w:val="00874EFE"/>
    <w:rsid w:val="008753C5"/>
    <w:rsid w:val="00885C51"/>
    <w:rsid w:val="00885EB0"/>
    <w:rsid w:val="0088780D"/>
    <w:rsid w:val="00891F4B"/>
    <w:rsid w:val="00891F8B"/>
    <w:rsid w:val="0089264A"/>
    <w:rsid w:val="00892D30"/>
    <w:rsid w:val="00896B85"/>
    <w:rsid w:val="008A0FEA"/>
    <w:rsid w:val="008A1C62"/>
    <w:rsid w:val="008A22BE"/>
    <w:rsid w:val="008A35C9"/>
    <w:rsid w:val="008A4D0C"/>
    <w:rsid w:val="008B40AC"/>
    <w:rsid w:val="008C1B36"/>
    <w:rsid w:val="008C459D"/>
    <w:rsid w:val="008D06C6"/>
    <w:rsid w:val="008D3DE1"/>
    <w:rsid w:val="008D753B"/>
    <w:rsid w:val="008E0AF1"/>
    <w:rsid w:val="008E41F7"/>
    <w:rsid w:val="008E6250"/>
    <w:rsid w:val="008E7AA6"/>
    <w:rsid w:val="008F3C8D"/>
    <w:rsid w:val="008F45A2"/>
    <w:rsid w:val="00902AF6"/>
    <w:rsid w:val="0091178D"/>
    <w:rsid w:val="009121C0"/>
    <w:rsid w:val="00917B2E"/>
    <w:rsid w:val="00917B43"/>
    <w:rsid w:val="00920249"/>
    <w:rsid w:val="00922D04"/>
    <w:rsid w:val="00924C80"/>
    <w:rsid w:val="00925DD2"/>
    <w:rsid w:val="00932F14"/>
    <w:rsid w:val="00936E1E"/>
    <w:rsid w:val="0094247F"/>
    <w:rsid w:val="00942D60"/>
    <w:rsid w:val="0094412C"/>
    <w:rsid w:val="009468EE"/>
    <w:rsid w:val="00953982"/>
    <w:rsid w:val="009548CE"/>
    <w:rsid w:val="009613B0"/>
    <w:rsid w:val="0096149A"/>
    <w:rsid w:val="0096523B"/>
    <w:rsid w:val="00966EE3"/>
    <w:rsid w:val="00972D06"/>
    <w:rsid w:val="0098559D"/>
    <w:rsid w:val="00986106"/>
    <w:rsid w:val="009866CB"/>
    <w:rsid w:val="009A1241"/>
    <w:rsid w:val="009A280A"/>
    <w:rsid w:val="009A391C"/>
    <w:rsid w:val="009A3FE6"/>
    <w:rsid w:val="009A50F2"/>
    <w:rsid w:val="009A6C87"/>
    <w:rsid w:val="009B05A4"/>
    <w:rsid w:val="009B2A25"/>
    <w:rsid w:val="009B4B55"/>
    <w:rsid w:val="009B66DE"/>
    <w:rsid w:val="009C03DF"/>
    <w:rsid w:val="009C0420"/>
    <w:rsid w:val="009C4314"/>
    <w:rsid w:val="009C46A9"/>
    <w:rsid w:val="009C60D7"/>
    <w:rsid w:val="009D0118"/>
    <w:rsid w:val="009D3172"/>
    <w:rsid w:val="009D666A"/>
    <w:rsid w:val="009E0A61"/>
    <w:rsid w:val="009E3010"/>
    <w:rsid w:val="009E5543"/>
    <w:rsid w:val="009E6E25"/>
    <w:rsid w:val="009F007E"/>
    <w:rsid w:val="009F3CCA"/>
    <w:rsid w:val="009F6F79"/>
    <w:rsid w:val="009F7065"/>
    <w:rsid w:val="00A056D6"/>
    <w:rsid w:val="00A07E27"/>
    <w:rsid w:val="00A11242"/>
    <w:rsid w:val="00A139FD"/>
    <w:rsid w:val="00A1468B"/>
    <w:rsid w:val="00A20EB7"/>
    <w:rsid w:val="00A25545"/>
    <w:rsid w:val="00A311C9"/>
    <w:rsid w:val="00A3236B"/>
    <w:rsid w:val="00A4175D"/>
    <w:rsid w:val="00A4409F"/>
    <w:rsid w:val="00A50457"/>
    <w:rsid w:val="00A513D9"/>
    <w:rsid w:val="00A53437"/>
    <w:rsid w:val="00A54180"/>
    <w:rsid w:val="00A55CC0"/>
    <w:rsid w:val="00A565AE"/>
    <w:rsid w:val="00A56DC7"/>
    <w:rsid w:val="00A62277"/>
    <w:rsid w:val="00A6245D"/>
    <w:rsid w:val="00A67D9A"/>
    <w:rsid w:val="00A7045B"/>
    <w:rsid w:val="00A74FD1"/>
    <w:rsid w:val="00A76B3F"/>
    <w:rsid w:val="00A76FA6"/>
    <w:rsid w:val="00A77BFA"/>
    <w:rsid w:val="00A84A58"/>
    <w:rsid w:val="00A86894"/>
    <w:rsid w:val="00A87507"/>
    <w:rsid w:val="00A920B1"/>
    <w:rsid w:val="00A92233"/>
    <w:rsid w:val="00AB1B96"/>
    <w:rsid w:val="00AC69DE"/>
    <w:rsid w:val="00AC7752"/>
    <w:rsid w:val="00AC7D29"/>
    <w:rsid w:val="00AD3F42"/>
    <w:rsid w:val="00AD603F"/>
    <w:rsid w:val="00AE0960"/>
    <w:rsid w:val="00AE2D8A"/>
    <w:rsid w:val="00AF06FC"/>
    <w:rsid w:val="00AF3391"/>
    <w:rsid w:val="00AF387F"/>
    <w:rsid w:val="00AF57A3"/>
    <w:rsid w:val="00B00E7F"/>
    <w:rsid w:val="00B0336B"/>
    <w:rsid w:val="00B12F1E"/>
    <w:rsid w:val="00B15D03"/>
    <w:rsid w:val="00B170FC"/>
    <w:rsid w:val="00B173DA"/>
    <w:rsid w:val="00B17FDC"/>
    <w:rsid w:val="00B20D0F"/>
    <w:rsid w:val="00B21591"/>
    <w:rsid w:val="00B21DCC"/>
    <w:rsid w:val="00B25F37"/>
    <w:rsid w:val="00B304E3"/>
    <w:rsid w:val="00B37BF0"/>
    <w:rsid w:val="00B44422"/>
    <w:rsid w:val="00B44A3F"/>
    <w:rsid w:val="00B46EA0"/>
    <w:rsid w:val="00B55168"/>
    <w:rsid w:val="00B551F0"/>
    <w:rsid w:val="00B667A6"/>
    <w:rsid w:val="00B731D3"/>
    <w:rsid w:val="00B839A3"/>
    <w:rsid w:val="00B902BD"/>
    <w:rsid w:val="00B925AF"/>
    <w:rsid w:val="00B97A75"/>
    <w:rsid w:val="00BA24E2"/>
    <w:rsid w:val="00BA7307"/>
    <w:rsid w:val="00BC0F0A"/>
    <w:rsid w:val="00BD2A39"/>
    <w:rsid w:val="00BD2E80"/>
    <w:rsid w:val="00BD3F7B"/>
    <w:rsid w:val="00BD66E0"/>
    <w:rsid w:val="00BE11B8"/>
    <w:rsid w:val="00BE3399"/>
    <w:rsid w:val="00BE35C3"/>
    <w:rsid w:val="00BE6DB2"/>
    <w:rsid w:val="00BE7515"/>
    <w:rsid w:val="00BF476F"/>
    <w:rsid w:val="00BF6C02"/>
    <w:rsid w:val="00BF7FF0"/>
    <w:rsid w:val="00C04D3A"/>
    <w:rsid w:val="00C04F3F"/>
    <w:rsid w:val="00C053BA"/>
    <w:rsid w:val="00C057F4"/>
    <w:rsid w:val="00C05946"/>
    <w:rsid w:val="00C05C33"/>
    <w:rsid w:val="00C06F0F"/>
    <w:rsid w:val="00C07A9D"/>
    <w:rsid w:val="00C10A77"/>
    <w:rsid w:val="00C11E12"/>
    <w:rsid w:val="00C12502"/>
    <w:rsid w:val="00C156A4"/>
    <w:rsid w:val="00C20055"/>
    <w:rsid w:val="00C20AF0"/>
    <w:rsid w:val="00C21211"/>
    <w:rsid w:val="00C23C82"/>
    <w:rsid w:val="00C27C03"/>
    <w:rsid w:val="00C36576"/>
    <w:rsid w:val="00C36578"/>
    <w:rsid w:val="00C37AF8"/>
    <w:rsid w:val="00C40AA5"/>
    <w:rsid w:val="00C46F70"/>
    <w:rsid w:val="00C476D0"/>
    <w:rsid w:val="00C47CE2"/>
    <w:rsid w:val="00C61AC1"/>
    <w:rsid w:val="00C61D88"/>
    <w:rsid w:val="00C621F4"/>
    <w:rsid w:val="00C679E5"/>
    <w:rsid w:val="00C737BF"/>
    <w:rsid w:val="00C743B1"/>
    <w:rsid w:val="00C7457E"/>
    <w:rsid w:val="00C836E3"/>
    <w:rsid w:val="00C86577"/>
    <w:rsid w:val="00C8748E"/>
    <w:rsid w:val="00C92E07"/>
    <w:rsid w:val="00C9473A"/>
    <w:rsid w:val="00C94E0D"/>
    <w:rsid w:val="00C96868"/>
    <w:rsid w:val="00CA0416"/>
    <w:rsid w:val="00CA3FE1"/>
    <w:rsid w:val="00CB0CC9"/>
    <w:rsid w:val="00CB0D85"/>
    <w:rsid w:val="00CB1E53"/>
    <w:rsid w:val="00CB73A8"/>
    <w:rsid w:val="00CC0E51"/>
    <w:rsid w:val="00CC560B"/>
    <w:rsid w:val="00CC75E2"/>
    <w:rsid w:val="00CD035A"/>
    <w:rsid w:val="00CD46EB"/>
    <w:rsid w:val="00CD5AE0"/>
    <w:rsid w:val="00CD7EBF"/>
    <w:rsid w:val="00CE5720"/>
    <w:rsid w:val="00CE7FB6"/>
    <w:rsid w:val="00CF2016"/>
    <w:rsid w:val="00CF638E"/>
    <w:rsid w:val="00D001E4"/>
    <w:rsid w:val="00D01A7D"/>
    <w:rsid w:val="00D056F1"/>
    <w:rsid w:val="00D11171"/>
    <w:rsid w:val="00D15768"/>
    <w:rsid w:val="00D22F3C"/>
    <w:rsid w:val="00D2304A"/>
    <w:rsid w:val="00D23DB6"/>
    <w:rsid w:val="00D3037D"/>
    <w:rsid w:val="00D303F0"/>
    <w:rsid w:val="00D31646"/>
    <w:rsid w:val="00D43FE6"/>
    <w:rsid w:val="00D45EB3"/>
    <w:rsid w:val="00D51A95"/>
    <w:rsid w:val="00D54653"/>
    <w:rsid w:val="00D5489C"/>
    <w:rsid w:val="00D5567D"/>
    <w:rsid w:val="00D60568"/>
    <w:rsid w:val="00D61661"/>
    <w:rsid w:val="00D6197F"/>
    <w:rsid w:val="00D70C7A"/>
    <w:rsid w:val="00D80A75"/>
    <w:rsid w:val="00D81D38"/>
    <w:rsid w:val="00D85B16"/>
    <w:rsid w:val="00D86FA0"/>
    <w:rsid w:val="00D902FC"/>
    <w:rsid w:val="00D9620E"/>
    <w:rsid w:val="00DA0DC3"/>
    <w:rsid w:val="00DA10A8"/>
    <w:rsid w:val="00DA3361"/>
    <w:rsid w:val="00DA54B5"/>
    <w:rsid w:val="00DA6A77"/>
    <w:rsid w:val="00DB1E08"/>
    <w:rsid w:val="00DB2973"/>
    <w:rsid w:val="00DB5A32"/>
    <w:rsid w:val="00DB6ECE"/>
    <w:rsid w:val="00DC0BF9"/>
    <w:rsid w:val="00DC199C"/>
    <w:rsid w:val="00DC1B56"/>
    <w:rsid w:val="00DC2129"/>
    <w:rsid w:val="00DC4DA9"/>
    <w:rsid w:val="00DC6570"/>
    <w:rsid w:val="00DD355D"/>
    <w:rsid w:val="00DD3C5E"/>
    <w:rsid w:val="00DD6CBB"/>
    <w:rsid w:val="00DE363B"/>
    <w:rsid w:val="00DE4DD6"/>
    <w:rsid w:val="00DE5269"/>
    <w:rsid w:val="00DE5966"/>
    <w:rsid w:val="00DE6BB0"/>
    <w:rsid w:val="00DF25C3"/>
    <w:rsid w:val="00DF7EAA"/>
    <w:rsid w:val="00E02195"/>
    <w:rsid w:val="00E04033"/>
    <w:rsid w:val="00E04062"/>
    <w:rsid w:val="00E05071"/>
    <w:rsid w:val="00E054F9"/>
    <w:rsid w:val="00E060F5"/>
    <w:rsid w:val="00E063C6"/>
    <w:rsid w:val="00E066BA"/>
    <w:rsid w:val="00E12C29"/>
    <w:rsid w:val="00E1702F"/>
    <w:rsid w:val="00E2003B"/>
    <w:rsid w:val="00E203C2"/>
    <w:rsid w:val="00E219A2"/>
    <w:rsid w:val="00E279D8"/>
    <w:rsid w:val="00E319B1"/>
    <w:rsid w:val="00E36321"/>
    <w:rsid w:val="00E43BA0"/>
    <w:rsid w:val="00E44E0D"/>
    <w:rsid w:val="00E452E9"/>
    <w:rsid w:val="00E5492F"/>
    <w:rsid w:val="00E614D8"/>
    <w:rsid w:val="00E62DEF"/>
    <w:rsid w:val="00E66780"/>
    <w:rsid w:val="00E70A86"/>
    <w:rsid w:val="00E75A70"/>
    <w:rsid w:val="00E777EC"/>
    <w:rsid w:val="00E80FCD"/>
    <w:rsid w:val="00E83242"/>
    <w:rsid w:val="00E9691B"/>
    <w:rsid w:val="00E97CB8"/>
    <w:rsid w:val="00EA28E6"/>
    <w:rsid w:val="00EA2E57"/>
    <w:rsid w:val="00EA4230"/>
    <w:rsid w:val="00EA53B5"/>
    <w:rsid w:val="00EA7F2F"/>
    <w:rsid w:val="00EB79CC"/>
    <w:rsid w:val="00EC00DE"/>
    <w:rsid w:val="00EC30E1"/>
    <w:rsid w:val="00EC60A3"/>
    <w:rsid w:val="00EC62FF"/>
    <w:rsid w:val="00ED093F"/>
    <w:rsid w:val="00ED172A"/>
    <w:rsid w:val="00ED3DE6"/>
    <w:rsid w:val="00EE0225"/>
    <w:rsid w:val="00EF2C38"/>
    <w:rsid w:val="00EF33F5"/>
    <w:rsid w:val="00EF4317"/>
    <w:rsid w:val="00F067EA"/>
    <w:rsid w:val="00F10110"/>
    <w:rsid w:val="00F11F6C"/>
    <w:rsid w:val="00F13C3C"/>
    <w:rsid w:val="00F14BEC"/>
    <w:rsid w:val="00F16831"/>
    <w:rsid w:val="00F225C5"/>
    <w:rsid w:val="00F22D0A"/>
    <w:rsid w:val="00F2587A"/>
    <w:rsid w:val="00F3019F"/>
    <w:rsid w:val="00F3276E"/>
    <w:rsid w:val="00F35DF1"/>
    <w:rsid w:val="00F3715D"/>
    <w:rsid w:val="00F401EA"/>
    <w:rsid w:val="00F40EB1"/>
    <w:rsid w:val="00F420C8"/>
    <w:rsid w:val="00F42A4C"/>
    <w:rsid w:val="00F51A52"/>
    <w:rsid w:val="00F5471C"/>
    <w:rsid w:val="00F604DE"/>
    <w:rsid w:val="00F65AB2"/>
    <w:rsid w:val="00F77724"/>
    <w:rsid w:val="00F97506"/>
    <w:rsid w:val="00FA0B2F"/>
    <w:rsid w:val="00FA1059"/>
    <w:rsid w:val="00FA31C9"/>
    <w:rsid w:val="00FA3C58"/>
    <w:rsid w:val="00FA544E"/>
    <w:rsid w:val="00FA6525"/>
    <w:rsid w:val="00FB7512"/>
    <w:rsid w:val="00FC181E"/>
    <w:rsid w:val="00FC3949"/>
    <w:rsid w:val="00FD3A50"/>
    <w:rsid w:val="00FD4610"/>
    <w:rsid w:val="00FD4899"/>
    <w:rsid w:val="00FD7080"/>
    <w:rsid w:val="00FD7547"/>
    <w:rsid w:val="00FE159C"/>
    <w:rsid w:val="00FE19EE"/>
    <w:rsid w:val="00FE490D"/>
    <w:rsid w:val="00FE4B99"/>
    <w:rsid w:val="00FE53E1"/>
    <w:rsid w:val="00FE58D2"/>
    <w:rsid w:val="00FF1419"/>
    <w:rsid w:val="00FF5F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22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iPriority="10" w:unhideWhenUsed="0"/>
    <w:lsdException w:name="Default Paragraph Font" w:uiPriority="1"/>
    <w:lsdException w:name="List Continue 5" w:semiHidden="0" w:unhideWhenUsed="0"/>
    <w:lsdException w:name="Message Header" w:semiHidden="0" w:unhideWhenUsed="0"/>
    <w:lsdException w:name="Subtitle" w:semiHidden="0" w:uiPriority="11" w:unhideWhenUsed="0"/>
    <w:lsdException w:name="Salutation"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9"/>
    <w:qFormat/>
    <w:rsid w:val="00FE490D"/>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FE490D"/>
    <w:pPr>
      <w:keepNext/>
      <w:keepLines/>
      <w:spacing w:before="240" w:after="240"/>
      <w:ind w:left="851" w:hanging="851"/>
      <w:outlineLvl w:val="1"/>
    </w:pPr>
    <w:rPr>
      <w:rFonts w:eastAsia="Arial Unicode MS" w:cs="Arial"/>
      <w:b/>
      <w:bCs/>
      <w:sz w:val="28"/>
      <w:szCs w:val="22"/>
      <w:lang w:val="en-GB" w:bidi="ar-SA"/>
    </w:rPr>
  </w:style>
  <w:style w:type="paragraph" w:styleId="Heading3">
    <w:name w:val="heading 3"/>
    <w:aliases w:val="FSHeading 3,Subheading 1"/>
    <w:basedOn w:val="Normal"/>
    <w:next w:val="Normal"/>
    <w:link w:val="Heading3Char"/>
    <w:uiPriority w:val="9"/>
    <w:unhideWhenUsed/>
    <w:qFormat/>
    <w:rsid w:val="00FE490D"/>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E490D"/>
    <w:rPr>
      <w:rFonts w:ascii="Arial" w:hAnsi="Arial"/>
      <w:b/>
      <w:bCs/>
      <w:sz w:val="36"/>
      <w:szCs w:val="28"/>
      <w:lang w:val="en-AU" w:eastAsia="en-US"/>
    </w:rPr>
  </w:style>
  <w:style w:type="character" w:customStyle="1" w:styleId="Heading2Char">
    <w:name w:val="Heading 2 Char"/>
    <w:aliases w:val="FSHeading 2 Char,Section heading Char"/>
    <w:link w:val="Heading2"/>
    <w:uiPriority w:val="9"/>
    <w:rsid w:val="00FE490D"/>
    <w:rPr>
      <w:rFonts w:ascii="Arial" w:eastAsia="Arial Unicode MS" w:hAnsi="Arial" w:cs="Arial"/>
      <w:b/>
      <w:bCs/>
      <w:sz w:val="28"/>
      <w:szCs w:val="22"/>
      <w:lang w:eastAsia="en-US"/>
    </w:rPr>
  </w:style>
  <w:style w:type="character" w:customStyle="1" w:styleId="Heading3Char">
    <w:name w:val="Heading 3 Char"/>
    <w:aliases w:val="FSHeading 3 Char,Subheading 1 Char"/>
    <w:link w:val="Heading3"/>
    <w:uiPriority w:val="9"/>
    <w:rsid w:val="00FE490D"/>
    <w:rPr>
      <w:rFonts w:ascii="Arial" w:hAnsi="Arial"/>
      <w:b/>
      <w:bCs/>
      <w:color w:val="000000" w:themeColor="text1"/>
      <w:sz w:val="22"/>
      <w:szCs w:val="24"/>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A25545"/>
    <w:pPr>
      <w:widowControl/>
      <w:numPr>
        <w:numId w:val="1"/>
      </w:numPr>
      <w:ind w:left="709" w:hanging="567"/>
    </w:pPr>
    <w:rPr>
      <w:rFonts w:cs="Arial"/>
      <w:lang w:bidi="ar-SA"/>
    </w:rPr>
  </w:style>
  <w:style w:type="character" w:customStyle="1" w:styleId="FSBullet1Char">
    <w:name w:val="FSBullet 1 Char"/>
    <w:link w:val="FSBullet1"/>
    <w:rsid w:val="00A25545"/>
    <w:rPr>
      <w:rFonts w:ascii="Arial" w:hAnsi="Arial" w:cs="Arial"/>
      <w:sz w:val="22"/>
      <w:szCs w:val="24"/>
      <w:lang w:val="en-AU"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notes">
    <w:name w:val="FSC_tbl notes"/>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A86894"/>
    <w:pPr>
      <w:ind w:left="720"/>
      <w:contextualSpacing/>
    </w:pPr>
  </w:style>
  <w:style w:type="table" w:styleId="LightShading-Accent1">
    <w:name w:val="Light Shading Accent 1"/>
    <w:basedOn w:val="TableNormal"/>
    <w:uiPriority w:val="60"/>
    <w:rsid w:val="007840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C7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C10A77"/>
    <w:rPr>
      <w:b/>
      <w:bCs/>
    </w:rPr>
  </w:style>
  <w:style w:type="character" w:customStyle="1" w:styleId="CommentSubjectChar">
    <w:name w:val="Comment Subject Char"/>
    <w:basedOn w:val="CommentTextChar"/>
    <w:link w:val="CommentSubject"/>
    <w:rsid w:val="00C10A77"/>
    <w:rPr>
      <w:rFonts w:ascii="Arial" w:hAnsi="Arial"/>
      <w:b/>
      <w:bCs/>
      <w:lang w:eastAsia="en-US" w:bidi="en-US"/>
    </w:rPr>
  </w:style>
  <w:style w:type="paragraph" w:styleId="Caption">
    <w:name w:val="caption"/>
    <w:basedOn w:val="Normal"/>
    <w:next w:val="Normal"/>
    <w:unhideWhenUsed/>
    <w:qFormat/>
    <w:rsid w:val="006412B7"/>
    <w:pPr>
      <w:spacing w:after="200"/>
    </w:pPr>
    <w:rPr>
      <w:b/>
      <w:bCs/>
      <w:color w:val="4F81BD" w:themeColor="accent1"/>
      <w:sz w:val="18"/>
      <w:szCs w:val="18"/>
    </w:rPr>
  </w:style>
  <w:style w:type="paragraph" w:customStyle="1" w:styleId="Default">
    <w:name w:val="Default"/>
    <w:rsid w:val="0028780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E43BA0"/>
    <w:rPr>
      <w:rFonts w:ascii="Arial" w:hAnsi="Arial"/>
      <w:sz w:val="22"/>
      <w:szCs w:val="24"/>
      <w:lang w:val="en-AU" w:eastAsia="en-US" w:bidi="en-US"/>
    </w:rPr>
  </w:style>
  <w:style w:type="character" w:customStyle="1" w:styleId="FootnoteTextChar">
    <w:name w:val="Footnote Text Char"/>
    <w:basedOn w:val="DefaultParagraphFont"/>
    <w:link w:val="FootnoteText"/>
    <w:semiHidden/>
    <w:rsid w:val="00261936"/>
    <w:rPr>
      <w:rFonts w:ascii="Arial" w:hAnsi="Arial"/>
      <w:lang w:val="en-AU" w:eastAsia="en-US" w:bidi="en-US"/>
    </w:rPr>
  </w:style>
  <w:style w:type="paragraph" w:customStyle="1" w:styleId="Heading">
    <w:name w:val="Heading"/>
    <w:basedOn w:val="Normal"/>
    <w:rsid w:val="00C06F0F"/>
    <w:pPr>
      <w:widowControl/>
      <w:spacing w:line="240" w:lineRule="atLeast"/>
      <w:ind w:left="20" w:right="-100"/>
    </w:pPr>
    <w:rPr>
      <w:rFonts w:ascii="Times New Roman" w:eastAsiaTheme="minorHAnsi" w:hAnsi="Times New Roman"/>
      <w:b/>
      <w:bCs/>
      <w:sz w:val="24"/>
      <w:lang w:val="en-GB" w:bidi="ar-SA"/>
    </w:rPr>
  </w:style>
  <w:style w:type="character" w:customStyle="1" w:styleId="tgc">
    <w:name w:val="_tgc"/>
    <w:basedOn w:val="DefaultParagraphFont"/>
    <w:rsid w:val="00CE7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iPriority="10" w:unhideWhenUsed="0"/>
    <w:lsdException w:name="Default Paragraph Font" w:uiPriority="1"/>
    <w:lsdException w:name="List Continue 5" w:semiHidden="0" w:unhideWhenUsed="0"/>
    <w:lsdException w:name="Message Header" w:semiHidden="0" w:unhideWhenUsed="0"/>
    <w:lsdException w:name="Subtitle" w:semiHidden="0" w:uiPriority="11" w:unhideWhenUsed="0"/>
    <w:lsdException w:name="Salutation"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9"/>
    <w:qFormat/>
    <w:rsid w:val="00FE490D"/>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FE490D"/>
    <w:pPr>
      <w:keepNext/>
      <w:keepLines/>
      <w:spacing w:before="240" w:after="240"/>
      <w:ind w:left="851" w:hanging="851"/>
      <w:outlineLvl w:val="1"/>
    </w:pPr>
    <w:rPr>
      <w:rFonts w:eastAsia="Arial Unicode MS" w:cs="Arial"/>
      <w:b/>
      <w:bCs/>
      <w:sz w:val="28"/>
      <w:szCs w:val="22"/>
      <w:lang w:val="en-GB" w:bidi="ar-SA"/>
    </w:rPr>
  </w:style>
  <w:style w:type="paragraph" w:styleId="Heading3">
    <w:name w:val="heading 3"/>
    <w:aliases w:val="FSHeading 3,Subheading 1"/>
    <w:basedOn w:val="Normal"/>
    <w:next w:val="Normal"/>
    <w:link w:val="Heading3Char"/>
    <w:uiPriority w:val="9"/>
    <w:unhideWhenUsed/>
    <w:qFormat/>
    <w:rsid w:val="00FE490D"/>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E490D"/>
    <w:rPr>
      <w:rFonts w:ascii="Arial" w:hAnsi="Arial"/>
      <w:b/>
      <w:bCs/>
      <w:sz w:val="36"/>
      <w:szCs w:val="28"/>
      <w:lang w:val="en-AU" w:eastAsia="en-US"/>
    </w:rPr>
  </w:style>
  <w:style w:type="character" w:customStyle="1" w:styleId="Heading2Char">
    <w:name w:val="Heading 2 Char"/>
    <w:aliases w:val="FSHeading 2 Char,Section heading Char"/>
    <w:link w:val="Heading2"/>
    <w:uiPriority w:val="9"/>
    <w:rsid w:val="00FE490D"/>
    <w:rPr>
      <w:rFonts w:ascii="Arial" w:eastAsia="Arial Unicode MS" w:hAnsi="Arial" w:cs="Arial"/>
      <w:b/>
      <w:bCs/>
      <w:sz w:val="28"/>
      <w:szCs w:val="22"/>
      <w:lang w:eastAsia="en-US"/>
    </w:rPr>
  </w:style>
  <w:style w:type="character" w:customStyle="1" w:styleId="Heading3Char">
    <w:name w:val="Heading 3 Char"/>
    <w:aliases w:val="FSHeading 3 Char,Subheading 1 Char"/>
    <w:link w:val="Heading3"/>
    <w:uiPriority w:val="9"/>
    <w:rsid w:val="00FE490D"/>
    <w:rPr>
      <w:rFonts w:ascii="Arial" w:hAnsi="Arial"/>
      <w:b/>
      <w:bCs/>
      <w:color w:val="000000" w:themeColor="text1"/>
      <w:sz w:val="22"/>
      <w:szCs w:val="24"/>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A25545"/>
    <w:pPr>
      <w:widowControl/>
      <w:numPr>
        <w:numId w:val="1"/>
      </w:numPr>
      <w:ind w:left="709" w:hanging="567"/>
    </w:pPr>
    <w:rPr>
      <w:rFonts w:cs="Arial"/>
      <w:lang w:bidi="ar-SA"/>
    </w:rPr>
  </w:style>
  <w:style w:type="character" w:customStyle="1" w:styleId="FSBullet1Char">
    <w:name w:val="FSBullet 1 Char"/>
    <w:link w:val="FSBullet1"/>
    <w:rsid w:val="00A25545"/>
    <w:rPr>
      <w:rFonts w:ascii="Arial" w:hAnsi="Arial" w:cs="Arial"/>
      <w:sz w:val="22"/>
      <w:szCs w:val="24"/>
      <w:lang w:val="en-AU"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notes">
    <w:name w:val="FSC_tbl notes"/>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A86894"/>
    <w:pPr>
      <w:ind w:left="720"/>
      <w:contextualSpacing/>
    </w:pPr>
  </w:style>
  <w:style w:type="table" w:styleId="LightShading-Accent1">
    <w:name w:val="Light Shading Accent 1"/>
    <w:basedOn w:val="TableNormal"/>
    <w:uiPriority w:val="60"/>
    <w:rsid w:val="007840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C7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C10A77"/>
    <w:rPr>
      <w:b/>
      <w:bCs/>
    </w:rPr>
  </w:style>
  <w:style w:type="character" w:customStyle="1" w:styleId="CommentSubjectChar">
    <w:name w:val="Comment Subject Char"/>
    <w:basedOn w:val="CommentTextChar"/>
    <w:link w:val="CommentSubject"/>
    <w:rsid w:val="00C10A77"/>
    <w:rPr>
      <w:rFonts w:ascii="Arial" w:hAnsi="Arial"/>
      <w:b/>
      <w:bCs/>
      <w:lang w:eastAsia="en-US" w:bidi="en-US"/>
    </w:rPr>
  </w:style>
  <w:style w:type="paragraph" w:styleId="Caption">
    <w:name w:val="caption"/>
    <w:basedOn w:val="Normal"/>
    <w:next w:val="Normal"/>
    <w:unhideWhenUsed/>
    <w:qFormat/>
    <w:rsid w:val="006412B7"/>
    <w:pPr>
      <w:spacing w:after="200"/>
    </w:pPr>
    <w:rPr>
      <w:b/>
      <w:bCs/>
      <w:color w:val="4F81BD" w:themeColor="accent1"/>
      <w:sz w:val="18"/>
      <w:szCs w:val="18"/>
    </w:rPr>
  </w:style>
  <w:style w:type="paragraph" w:customStyle="1" w:styleId="Default">
    <w:name w:val="Default"/>
    <w:rsid w:val="0028780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E43BA0"/>
    <w:rPr>
      <w:rFonts w:ascii="Arial" w:hAnsi="Arial"/>
      <w:sz w:val="22"/>
      <w:szCs w:val="24"/>
      <w:lang w:val="en-AU" w:eastAsia="en-US" w:bidi="en-US"/>
    </w:rPr>
  </w:style>
  <w:style w:type="character" w:customStyle="1" w:styleId="FootnoteTextChar">
    <w:name w:val="Footnote Text Char"/>
    <w:basedOn w:val="DefaultParagraphFont"/>
    <w:link w:val="FootnoteText"/>
    <w:semiHidden/>
    <w:rsid w:val="00261936"/>
    <w:rPr>
      <w:rFonts w:ascii="Arial" w:hAnsi="Arial"/>
      <w:lang w:val="en-AU" w:eastAsia="en-US" w:bidi="en-US"/>
    </w:rPr>
  </w:style>
  <w:style w:type="paragraph" w:customStyle="1" w:styleId="Heading">
    <w:name w:val="Heading"/>
    <w:basedOn w:val="Normal"/>
    <w:rsid w:val="00C06F0F"/>
    <w:pPr>
      <w:widowControl/>
      <w:spacing w:line="240" w:lineRule="atLeast"/>
      <w:ind w:left="20" w:right="-100"/>
    </w:pPr>
    <w:rPr>
      <w:rFonts w:ascii="Times New Roman" w:eastAsiaTheme="minorHAnsi" w:hAnsi="Times New Roman"/>
      <w:b/>
      <w:bCs/>
      <w:sz w:val="24"/>
      <w:lang w:val="en-GB" w:bidi="ar-SA"/>
    </w:rPr>
  </w:style>
  <w:style w:type="character" w:customStyle="1" w:styleId="tgc">
    <w:name w:val="_tgc"/>
    <w:basedOn w:val="DefaultParagraphFont"/>
    <w:rsid w:val="00CE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4892">
      <w:bodyDiv w:val="1"/>
      <w:marLeft w:val="0"/>
      <w:marRight w:val="0"/>
      <w:marTop w:val="0"/>
      <w:marBottom w:val="0"/>
      <w:divBdr>
        <w:top w:val="none" w:sz="0" w:space="0" w:color="auto"/>
        <w:left w:val="none" w:sz="0" w:space="0" w:color="auto"/>
        <w:bottom w:val="none" w:sz="0" w:space="0" w:color="auto"/>
        <w:right w:val="none" w:sz="0" w:space="0" w:color="auto"/>
      </w:divBdr>
    </w:div>
    <w:div w:id="132115484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838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foodstandards.gov.au/code/applications/Pages/applicationa522dhari2348.aspx" TargetMode="External"/><Relationship Id="rId39" Type="http://schemas.openxmlformats.org/officeDocument/2006/relationships/theme" Target="theme/theme1.xml"/><Relationship Id="rId21" Type="http://schemas.openxmlformats.org/officeDocument/2006/relationships/hyperlink" Target="http://www.foodstandards.gov.au/code/proposals/Documents/P93_SuppFAR.pdf" TargetMode="External"/><Relationship Id="rId34" Type="http://schemas.openxmlformats.org/officeDocument/2006/relationships/hyperlink" Target="http://www.scielo.br/scielo.php?script=sci_arttext&amp;pid=S0101-2061201100030000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oodstandards.gov.au/code/applications/documents/A428DA.pdf" TargetMode="External"/><Relationship Id="rId29" Type="http://schemas.openxmlformats.org/officeDocument/2006/relationships/hyperlink" Target="http://www.foodstandards.gov.au/code/applications/Documents/A532%20LCPUFAs%20FAR%20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food/safety/docs/labelling_nutrition-special_groups_food-children-out199_en.pdf" TargetMode="External"/><Relationship Id="rId32" Type="http://schemas.openxmlformats.org/officeDocument/2006/relationships/hyperlink" Target="http://www.foodstandards.gov.au/code/proposals/Documents/P1028-Consult-SD1-Attach-A1.pdf" TargetMode="External"/><Relationship Id="rId37" Type="http://schemas.openxmlformats.org/officeDocument/2006/relationships/footer" Target="footer4.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fsa.europa.eu/en/efsajournal/pub/3760%20Accessed%2016%20February%202016" TargetMode="External"/><Relationship Id="rId28" Type="http://schemas.openxmlformats.org/officeDocument/2006/relationships/hyperlink" Target="http://www.foodstandards.gov.au/code/applications/Documents/A522%20DHA-rich%20oil%20FAR1.doc" TargetMode="External"/><Relationship Id="rId36" Type="http://schemas.openxmlformats.org/officeDocument/2006/relationships/hyperlink" Target="http://aem.asm.org/content/77/11/3870.full" TargetMode="External"/><Relationship Id="rId10" Type="http://schemas.openxmlformats.org/officeDocument/2006/relationships/header" Target="header1.xml"/><Relationship Id="rId19" Type="http://schemas.openxmlformats.org/officeDocument/2006/relationships/hyperlink" Target="http://www.foodprocessing.com/articles/2012/algae-dha-healthy-as-fish-oil/" TargetMode="External"/><Relationship Id="rId31" Type="http://schemas.openxmlformats.org/officeDocument/2006/relationships/hyperlink" Target="http://www.foodstandards.gov.au/industry/labelling/Documents/DHA%20systematic%20review.docx"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code/proposals/Pages/proposalp93reviewofinfantformula/Default.aspx" TargetMode="External"/><Relationship Id="rId27" Type="http://schemas.openxmlformats.org/officeDocument/2006/relationships/hyperlink" Target="http://www.foodstandards.gov.au/code/applications/Documents/A522%20DHA-rich%20oil%20FAR1.doc" TargetMode="External"/><Relationship Id="rId30" Type="http://schemas.openxmlformats.org/officeDocument/2006/relationships/hyperlink" Target="http://www.foodstandards.gov.au/industry/labelling/Documents/DHA%20systematic%20review.docx" TargetMode="External"/><Relationship Id="rId35" Type="http://schemas.openxmlformats.org/officeDocument/2006/relationships/hyperlink" Target="http://www.scielo.br/scielo.php?script=sci_arttext&amp;pid=S0101-20612011000300007" TargetMode="Externa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foodstandards.gov.au/publications/Documents/DHASCO%20and%20ARASCO%20in%20infant%20formula.doc" TargetMode="External"/><Relationship Id="rId33" Type="http://schemas.openxmlformats.org/officeDocument/2006/relationships/hyperlink" Target="https://www.nrv.gov.au/home" TargetMode="External"/><Relationship Id="rId38" Type="http://schemas.openxmlformats.org/officeDocument/2006/relationships/fontTable" Target="fontTable.xml"/><Relationship Id="rId46"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3FAF-EC8B-4F7C-AFB9-3586F01C17A8}"/>
</file>

<file path=customXml/itemProps2.xml><?xml version="1.0" encoding="utf-8"?>
<ds:datastoreItem xmlns:ds="http://schemas.openxmlformats.org/officeDocument/2006/customXml" ds:itemID="{56DBDFC2-A243-43B9-BCB8-08B03AF5A5A0}"/>
</file>

<file path=customXml/itemProps3.xml><?xml version="1.0" encoding="utf-8"?>
<ds:datastoreItem xmlns:ds="http://schemas.openxmlformats.org/officeDocument/2006/customXml" ds:itemID="{C3365E40-40AA-4A27-9D50-788AEE4595D6}"/>
</file>

<file path=customXml/itemProps4.xml><?xml version="1.0" encoding="utf-8"?>
<ds:datastoreItem xmlns:ds="http://schemas.openxmlformats.org/officeDocument/2006/customXml" ds:itemID="{30F8F1EC-4371-46A2-AA0E-22D96CF980DE}"/>
</file>

<file path=docProps/app.xml><?xml version="1.0" encoding="utf-8"?>
<Properties xmlns="http://schemas.openxmlformats.org/officeDocument/2006/extended-properties" xmlns:vt="http://schemas.openxmlformats.org/officeDocument/2006/docPropsVTypes">
  <Template>Normal</Template>
  <TotalTime>0</TotalTime>
  <Pages>41</Pages>
  <Words>16811</Words>
  <Characters>95826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112413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A1124 DHA algal oil to infant formula products SD1</dc:title>
  <dc:creator/>
  <cp:lastModifiedBy/>
  <cp:revision>1</cp:revision>
  <dcterms:created xsi:type="dcterms:W3CDTF">2016-10-26T23:41:00Z</dcterms:created>
  <dcterms:modified xsi:type="dcterms:W3CDTF">2016-10-26T23:43:00Z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